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A0C71B" w14:textId="58E4624E" w:rsidR="0042769F" w:rsidRDefault="00A319A5" w:rsidP="0028713C">
      <w:pPr>
        <w:pStyle w:val="Informal1"/>
        <w:tabs>
          <w:tab w:val="right" w:pos="5472"/>
        </w:tabs>
        <w:spacing w:before="0" w:after="0"/>
        <w:rPr>
          <w:rFonts w:ascii="Arial" w:hAnsi="Arial" w:cs="Arial"/>
          <w:b/>
          <w:noProof w:val="0"/>
          <w:color w:val="1F497D" w:themeColor="text2"/>
          <w:sz w:val="24"/>
          <w:szCs w:val="24"/>
        </w:rPr>
      </w:pPr>
      <w:r>
        <w:rPr>
          <w:rFonts w:ascii="Arial" w:hAnsi="Arial" w:cs="Arial"/>
          <w:b/>
          <w:noProof w:val="0"/>
          <w:color w:val="1F497D" w:themeColor="text2"/>
          <w:sz w:val="24"/>
          <w:szCs w:val="24"/>
        </w:rPr>
        <w:t>Footnotes for Financial Reporting</w:t>
      </w:r>
    </w:p>
    <w:p w14:paraId="009B1795" w14:textId="1D7DCB7A" w:rsidR="00A319A5" w:rsidRDefault="00A319A5" w:rsidP="0028713C">
      <w:pPr>
        <w:pStyle w:val="Informal1"/>
        <w:tabs>
          <w:tab w:val="right" w:pos="5472"/>
        </w:tabs>
        <w:spacing w:before="0" w:after="0"/>
        <w:rPr>
          <w:rFonts w:ascii="Arial" w:hAnsi="Arial" w:cs="Arial"/>
          <w:b/>
          <w:noProof w:val="0"/>
          <w:color w:val="1F497D" w:themeColor="text2"/>
          <w:sz w:val="24"/>
          <w:szCs w:val="24"/>
        </w:rPr>
      </w:pPr>
      <w:r>
        <w:rPr>
          <w:rFonts w:ascii="Arial" w:hAnsi="Arial" w:cs="Arial"/>
          <w:b/>
          <w:noProof w:val="0"/>
          <w:color w:val="1F497D" w:themeColor="text2"/>
          <w:sz w:val="24"/>
          <w:szCs w:val="24"/>
        </w:rPr>
        <w:t>Last updated: 28 July 2015</w:t>
      </w:r>
    </w:p>
    <w:p w14:paraId="4C9C2680" w14:textId="7DF3CC07" w:rsidR="00A319A5" w:rsidRDefault="00A319A5" w:rsidP="0028713C">
      <w:pPr>
        <w:pStyle w:val="Informal1"/>
        <w:tabs>
          <w:tab w:val="right" w:pos="5472"/>
        </w:tabs>
        <w:spacing w:before="0" w:after="0"/>
        <w:rPr>
          <w:rFonts w:ascii="Arial" w:hAnsi="Arial" w:cs="Arial"/>
          <w:b/>
          <w:noProof w:val="0"/>
          <w:color w:val="1F497D" w:themeColor="text2"/>
          <w:sz w:val="24"/>
          <w:szCs w:val="24"/>
        </w:rPr>
      </w:pPr>
      <w:r>
        <w:rPr>
          <w:rFonts w:ascii="Arial" w:hAnsi="Arial" w:cs="Arial"/>
          <w:b/>
          <w:noProof w:val="0"/>
          <w:color w:val="1F497D" w:themeColor="text2"/>
          <w:sz w:val="24"/>
          <w:szCs w:val="24"/>
        </w:rPr>
        <w:t>Document Owners: James Trotter, Jennifer Hansberry, Laura Fawcett</w:t>
      </w:r>
    </w:p>
    <w:p w14:paraId="73032614" w14:textId="77777777" w:rsidR="00690308" w:rsidRDefault="00690308" w:rsidP="0028713C">
      <w:pPr>
        <w:pStyle w:val="Informal1"/>
        <w:tabs>
          <w:tab w:val="right" w:pos="5472"/>
        </w:tabs>
        <w:spacing w:before="0" w:after="0"/>
        <w:rPr>
          <w:rFonts w:ascii="Arial" w:hAnsi="Arial" w:cs="Arial"/>
          <w:b/>
          <w:noProof w:val="0"/>
          <w:color w:val="1F497D" w:themeColor="text2"/>
          <w:sz w:val="24"/>
          <w:szCs w:val="24"/>
        </w:rPr>
      </w:pPr>
    </w:p>
    <w:p w14:paraId="5B205B34" w14:textId="77777777" w:rsidR="00EC5D6B" w:rsidRPr="005946F8" w:rsidRDefault="00EC5D6B" w:rsidP="00EC5D6B">
      <w:pPr>
        <w:pStyle w:val="Informal1"/>
        <w:numPr>
          <w:ilvl w:val="0"/>
          <w:numId w:val="7"/>
        </w:numPr>
        <w:tabs>
          <w:tab w:val="right" w:pos="5472"/>
        </w:tabs>
        <w:rPr>
          <w:rFonts w:ascii="Arial" w:hAnsi="Arial" w:cs="Arial"/>
          <w:b/>
          <w:noProof w:val="0"/>
          <w:color w:val="1F497D" w:themeColor="text2"/>
          <w:sz w:val="24"/>
          <w:szCs w:val="24"/>
        </w:rPr>
      </w:pPr>
      <w:r w:rsidRPr="005946F8">
        <w:rPr>
          <w:rFonts w:ascii="Arial" w:hAnsi="Arial" w:cs="Arial"/>
          <w:b/>
          <w:noProof w:val="0"/>
          <w:color w:val="1F497D" w:themeColor="text2"/>
          <w:sz w:val="24"/>
          <w:szCs w:val="24"/>
        </w:rPr>
        <w:t>Allocable:</w:t>
      </w:r>
      <w:r w:rsidRPr="005946F8">
        <w:rPr>
          <w:rFonts w:ascii="Arial" w:hAnsi="Arial" w:cs="Arial"/>
          <w:color w:val="1F497D" w:themeColor="text2"/>
          <w:sz w:val="24"/>
          <w:szCs w:val="24"/>
          <w:lang w:val="en"/>
        </w:rPr>
        <w:t xml:space="preserve"> The process of assigning a cost, or a group of costs, to one or more cost objective(s), in reasonable proportion to the benefit provided or other equitable relationship.</w:t>
      </w:r>
    </w:p>
    <w:p w14:paraId="0357B9BA" w14:textId="1326D77E" w:rsidR="00EC5D6B" w:rsidRPr="005946F8" w:rsidRDefault="00EC5D6B" w:rsidP="00011862">
      <w:pPr>
        <w:pStyle w:val="NormalWeb"/>
        <w:numPr>
          <w:ilvl w:val="0"/>
          <w:numId w:val="7"/>
        </w:numPr>
        <w:rPr>
          <w:rFonts w:ascii="Arial" w:hAnsi="Arial" w:cs="Arial"/>
          <w:color w:val="1F497D" w:themeColor="text2"/>
          <w:lang w:val="en"/>
        </w:rPr>
      </w:pPr>
      <w:r w:rsidRPr="005946F8">
        <w:rPr>
          <w:rFonts w:ascii="Arial" w:hAnsi="Arial" w:cs="Arial"/>
          <w:b/>
          <w:color w:val="1F497D" w:themeColor="text2"/>
        </w:rPr>
        <w:t xml:space="preserve">Allowable: </w:t>
      </w:r>
      <w:r w:rsidRPr="005946F8">
        <w:rPr>
          <w:rFonts w:ascii="Arial" w:hAnsi="Arial" w:cs="Arial"/>
          <w:color w:val="1F497D" w:themeColor="text2"/>
          <w:lang w:val="en"/>
        </w:rPr>
        <w:t xml:space="preserve">A cost incurred by a recipient that is: (1) reasonable for the performance of the award; (2) allocable; (3) in conformance with any limitations or exclusions set forth in the Federal cost principles applicable to the organization incurring the cost or in the </w:t>
      </w:r>
      <w:r w:rsidR="00011862" w:rsidRPr="00011862">
        <w:rPr>
          <w:rFonts w:ascii="Arial" w:hAnsi="Arial" w:cs="Arial"/>
          <w:color w:val="1F497D" w:themeColor="text2"/>
          <w:lang w:val="en"/>
        </w:rPr>
        <w:t xml:space="preserve">Notice of Award </w:t>
      </w:r>
      <w:r w:rsidR="00011862">
        <w:rPr>
          <w:rFonts w:ascii="Arial" w:hAnsi="Arial" w:cs="Arial"/>
          <w:color w:val="1F497D" w:themeColor="text2"/>
          <w:lang w:val="en"/>
        </w:rPr>
        <w:t>(</w:t>
      </w:r>
      <w:r w:rsidRPr="005946F8">
        <w:rPr>
          <w:rFonts w:ascii="Arial" w:hAnsi="Arial" w:cs="Arial"/>
          <w:color w:val="1F497D" w:themeColor="text2"/>
          <w:lang w:val="en"/>
        </w:rPr>
        <w:t>NoA</w:t>
      </w:r>
      <w:r w:rsidR="00011862">
        <w:rPr>
          <w:rFonts w:ascii="Arial" w:hAnsi="Arial" w:cs="Arial"/>
          <w:color w:val="1F497D" w:themeColor="text2"/>
          <w:lang w:val="en"/>
        </w:rPr>
        <w:t>)</w:t>
      </w:r>
      <w:r w:rsidRPr="005946F8">
        <w:rPr>
          <w:rFonts w:ascii="Arial" w:hAnsi="Arial" w:cs="Arial"/>
          <w:color w:val="1F497D" w:themeColor="text2"/>
          <w:lang w:val="en"/>
        </w:rPr>
        <w:t xml:space="preserve"> as to the type or amount of cost; (4) consistent with regulations, policies, and procedures of the recipient that are applied uniformly to both federally supported and other activities of the organization; (5) accorded consistent treatment as a direct or indirect cost; (6) determined in accordance with generally accepted accounting principles; and (7) not included as a cost in any other federally supported award (unless specifically authorized by statute). </w:t>
      </w:r>
    </w:p>
    <w:p w14:paraId="47F2DF46" w14:textId="77777777" w:rsidR="006370CF" w:rsidRDefault="006370CF" w:rsidP="006370CF">
      <w:pPr>
        <w:pStyle w:val="Informal1"/>
        <w:tabs>
          <w:tab w:val="right" w:pos="5472"/>
        </w:tabs>
        <w:ind w:left="720"/>
        <w:rPr>
          <w:rFonts w:ascii="Arial" w:hAnsi="Arial" w:cs="Arial"/>
          <w:b/>
          <w:noProof w:val="0"/>
          <w:color w:val="1F497D" w:themeColor="text2"/>
          <w:sz w:val="24"/>
          <w:szCs w:val="24"/>
        </w:rPr>
      </w:pPr>
    </w:p>
    <w:p w14:paraId="5AD8D436" w14:textId="77777777" w:rsidR="00F4454F" w:rsidRDefault="00690308" w:rsidP="002211DC">
      <w:pPr>
        <w:pStyle w:val="Informal1"/>
        <w:numPr>
          <w:ilvl w:val="0"/>
          <w:numId w:val="7"/>
        </w:numPr>
        <w:tabs>
          <w:tab w:val="right" w:pos="5472"/>
        </w:tabs>
        <w:rPr>
          <w:rFonts w:ascii="Arial" w:hAnsi="Arial" w:cs="Arial"/>
          <w:b/>
          <w:noProof w:val="0"/>
          <w:color w:val="1F497D" w:themeColor="text2"/>
          <w:sz w:val="24"/>
          <w:szCs w:val="24"/>
        </w:rPr>
      </w:pPr>
      <w:r w:rsidRPr="00C93E25">
        <w:rPr>
          <w:rFonts w:ascii="Arial" w:hAnsi="Arial" w:cs="Arial"/>
          <w:b/>
          <w:noProof w:val="0"/>
          <w:color w:val="1F497D" w:themeColor="text2"/>
          <w:sz w:val="24"/>
          <w:szCs w:val="24"/>
        </w:rPr>
        <w:t xml:space="preserve">Budget </w:t>
      </w:r>
      <w:r w:rsidR="00F4454F">
        <w:rPr>
          <w:rFonts w:ascii="Arial" w:hAnsi="Arial" w:cs="Arial"/>
          <w:b/>
          <w:noProof w:val="0"/>
          <w:color w:val="1F497D" w:themeColor="text2"/>
          <w:sz w:val="24"/>
          <w:szCs w:val="24"/>
        </w:rPr>
        <w:t xml:space="preserve">Categories </w:t>
      </w:r>
      <w:r>
        <w:rPr>
          <w:rFonts w:ascii="Arial" w:hAnsi="Arial" w:cs="Arial"/>
          <w:b/>
          <w:noProof w:val="0"/>
          <w:color w:val="1F497D" w:themeColor="text2"/>
          <w:sz w:val="24"/>
          <w:szCs w:val="24"/>
        </w:rPr>
        <w:t xml:space="preserve"> </w:t>
      </w:r>
    </w:p>
    <w:p w14:paraId="4B51FAB3" w14:textId="77777777" w:rsidR="00F4454F" w:rsidRPr="00F4454F" w:rsidRDefault="00F4454F" w:rsidP="00F4454F">
      <w:pPr>
        <w:pStyle w:val="Informal1"/>
        <w:numPr>
          <w:ilvl w:val="1"/>
          <w:numId w:val="7"/>
        </w:numPr>
        <w:tabs>
          <w:tab w:val="right" w:pos="5472"/>
        </w:tabs>
        <w:rPr>
          <w:rFonts w:ascii="Arial" w:hAnsi="Arial" w:cs="Arial"/>
          <w:b/>
          <w:noProof w:val="0"/>
          <w:color w:val="1F497D" w:themeColor="text2"/>
          <w:sz w:val="24"/>
          <w:szCs w:val="24"/>
        </w:rPr>
      </w:pPr>
      <w:r w:rsidRPr="00F4454F">
        <w:rPr>
          <w:rFonts w:ascii="Arial" w:hAnsi="Arial" w:cs="Arial"/>
          <w:b/>
          <w:noProof w:val="0"/>
          <w:color w:val="1F497D" w:themeColor="text2"/>
          <w:sz w:val="24"/>
          <w:szCs w:val="24"/>
        </w:rPr>
        <w:t>Direct Expenses</w:t>
      </w:r>
      <w:r w:rsidRPr="00F4454F">
        <w:rPr>
          <w:rFonts w:ascii="Arial" w:hAnsi="Arial" w:cs="Arial"/>
          <w:noProof w:val="0"/>
          <w:color w:val="1F497D" w:themeColor="text2"/>
          <w:sz w:val="24"/>
          <w:szCs w:val="24"/>
        </w:rPr>
        <w:t xml:space="preserve">: </w:t>
      </w:r>
      <w:r w:rsidRPr="00F4454F">
        <w:rPr>
          <w:rFonts w:ascii="Arial" w:hAnsi="Arial" w:cs="Arial"/>
          <w:noProof w:val="0"/>
          <w:color w:val="1F497D" w:themeColor="text2"/>
          <w:sz w:val="24"/>
          <w:szCs w:val="24"/>
          <w:lang w:val="en"/>
        </w:rPr>
        <w:t>any cost that can be specifically identified with a particular project, program, or activity or that can be directly assigned to such activities relatively easily and with a high degree of accuracy. Direct costs include, but are not limited to, salaries, travel, equipment, and supplies directly benefiting the grant-supported project or activity</w:t>
      </w:r>
    </w:p>
    <w:p w14:paraId="230B9220" w14:textId="77777777" w:rsidR="00F4454F" w:rsidRPr="00F4454F" w:rsidRDefault="00F4454F" w:rsidP="002211DC">
      <w:pPr>
        <w:pStyle w:val="ListParagraph"/>
        <w:numPr>
          <w:ilvl w:val="1"/>
          <w:numId w:val="7"/>
        </w:numPr>
        <w:rPr>
          <w:rFonts w:ascii="Arial" w:hAnsi="Arial" w:cs="Arial"/>
          <w:b/>
          <w:color w:val="1F497D" w:themeColor="text2"/>
          <w:sz w:val="24"/>
          <w:szCs w:val="24"/>
        </w:rPr>
      </w:pPr>
      <w:r w:rsidRPr="00F4454F">
        <w:rPr>
          <w:rFonts w:ascii="Arial" w:hAnsi="Arial" w:cs="Arial"/>
          <w:b/>
          <w:color w:val="1F497D" w:themeColor="text2"/>
          <w:sz w:val="24"/>
          <w:szCs w:val="24"/>
        </w:rPr>
        <w:t xml:space="preserve">Indirect Expenses: </w:t>
      </w:r>
      <w:r w:rsidRPr="00F4454F">
        <w:rPr>
          <w:rFonts w:ascii="Arial" w:hAnsi="Arial" w:cs="Arial"/>
          <w:color w:val="1F497D" w:themeColor="text2"/>
          <w:sz w:val="24"/>
          <w:szCs w:val="24"/>
        </w:rPr>
        <w:t>Also known as overhead or F&amp;A (Facilities and Administrative costs). Necessary common costs that benefit more than 1 grant that can’t readily be directly assigned to a grant. (e.g., payroll function, utility expenses, grant administrators). These generally represent costs already paid by Providence. For purposes of grants, indirect expense is a non-cash expense, which should be considered when looking at cash flow. We negotiate a rate with the federal government and apply that rate to the modified direct costs to calculate the reimbursement.</w:t>
      </w:r>
    </w:p>
    <w:p w14:paraId="08D75D15" w14:textId="77777777" w:rsidR="00690308" w:rsidRDefault="00690308" w:rsidP="00F4454F">
      <w:pPr>
        <w:pStyle w:val="Informal1"/>
        <w:tabs>
          <w:tab w:val="right" w:pos="5472"/>
        </w:tabs>
        <w:rPr>
          <w:rFonts w:ascii="Arial" w:hAnsi="Arial" w:cs="Arial"/>
          <w:b/>
          <w:noProof w:val="0"/>
          <w:color w:val="1F497D" w:themeColor="text2"/>
          <w:sz w:val="24"/>
          <w:szCs w:val="24"/>
        </w:rPr>
      </w:pPr>
    </w:p>
    <w:p w14:paraId="491AAA0C" w14:textId="77777777" w:rsidR="00690308" w:rsidRDefault="00690308" w:rsidP="00690308">
      <w:pPr>
        <w:pStyle w:val="Informal1"/>
        <w:numPr>
          <w:ilvl w:val="0"/>
          <w:numId w:val="7"/>
        </w:numPr>
        <w:tabs>
          <w:tab w:val="right" w:pos="5472"/>
        </w:tabs>
        <w:rPr>
          <w:rFonts w:ascii="Arial" w:hAnsi="Arial" w:cs="Arial"/>
          <w:b/>
          <w:noProof w:val="0"/>
          <w:color w:val="1F497D" w:themeColor="text2"/>
          <w:sz w:val="24"/>
          <w:szCs w:val="24"/>
        </w:rPr>
      </w:pPr>
      <w:r w:rsidRPr="000A23D0">
        <w:rPr>
          <w:rFonts w:ascii="Arial" w:hAnsi="Arial" w:cs="Arial"/>
          <w:b/>
          <w:noProof w:val="0"/>
          <w:color w:val="1F497D" w:themeColor="text2"/>
          <w:sz w:val="24"/>
          <w:szCs w:val="24"/>
        </w:rPr>
        <w:t>Capital:</w:t>
      </w:r>
      <w:r>
        <w:rPr>
          <w:rFonts w:ascii="Arial" w:hAnsi="Arial" w:cs="Arial"/>
          <w:noProof w:val="0"/>
          <w:color w:val="1F497D" w:themeColor="text2"/>
          <w:sz w:val="24"/>
          <w:szCs w:val="24"/>
        </w:rPr>
        <w:t xml:space="preserve"> </w:t>
      </w:r>
      <w:r w:rsidRPr="000A23D0">
        <w:rPr>
          <w:rFonts w:ascii="Arial" w:hAnsi="Arial" w:cs="Arial"/>
          <w:noProof w:val="0"/>
          <w:color w:val="1F497D" w:themeColor="text2"/>
          <w:sz w:val="24"/>
          <w:szCs w:val="24"/>
        </w:rPr>
        <w:t xml:space="preserve">“Capital Expenditures” means expenditures for the acquisition cost of capital assets or expenditures to make improvements to capital assets that materially increase their value or useful life. “Equipment” means an article of nonexpendable, tangible property having a useful life of more than one year and an acquisition cost which equals or exceeds the lesser of the capitalization level established by the non-profit organization for financial statement purposes, or $5000. Acquisition cost for equipment, means the net invoice price of the </w:t>
      </w:r>
      <w:bookmarkStart w:id="0" w:name="_GoBack"/>
      <w:bookmarkEnd w:id="0"/>
      <w:r w:rsidRPr="000A23D0">
        <w:rPr>
          <w:rFonts w:ascii="Arial" w:hAnsi="Arial" w:cs="Arial"/>
          <w:noProof w:val="0"/>
          <w:color w:val="1F497D" w:themeColor="text2"/>
          <w:sz w:val="24"/>
          <w:szCs w:val="24"/>
        </w:rPr>
        <w:t xml:space="preserve">equipment, including the cost of any modifications, attachments, accessories, or auxiliary apparatus. Ancillary charges, such as taxes, duty, protective in transit insurance, freight, and installation may be included in, or excluded from the </w:t>
      </w:r>
      <w:r w:rsidRPr="000A23D0">
        <w:rPr>
          <w:rFonts w:ascii="Arial" w:hAnsi="Arial" w:cs="Arial"/>
          <w:noProof w:val="0"/>
          <w:color w:val="1F497D" w:themeColor="text2"/>
          <w:sz w:val="24"/>
          <w:szCs w:val="24"/>
        </w:rPr>
        <w:lastRenderedPageBreak/>
        <w:t xml:space="preserve">acquisition cost in accordance with the non-profit organization's regular accounting practices. </w:t>
      </w:r>
    </w:p>
    <w:p w14:paraId="1EFA69C6" w14:textId="77777777" w:rsidR="00690308" w:rsidRPr="002211DC" w:rsidRDefault="00690308" w:rsidP="00690308">
      <w:pPr>
        <w:pStyle w:val="ListParagraph"/>
        <w:rPr>
          <w:rFonts w:ascii="Arial" w:hAnsi="Arial"/>
          <w:b/>
          <w:color w:val="1F497D" w:themeColor="text2"/>
          <w:sz w:val="24"/>
        </w:rPr>
      </w:pPr>
    </w:p>
    <w:p w14:paraId="2F435FC2" w14:textId="77777777" w:rsidR="00EC5D6B" w:rsidRDefault="006C0BDD" w:rsidP="00EC5D6B">
      <w:pPr>
        <w:pStyle w:val="ListParagraph"/>
        <w:numPr>
          <w:ilvl w:val="0"/>
          <w:numId w:val="7"/>
        </w:numPr>
        <w:rPr>
          <w:rFonts w:ascii="Arial" w:hAnsi="Arial" w:cs="Arial"/>
          <w:color w:val="1F497D" w:themeColor="text2"/>
          <w:sz w:val="24"/>
          <w:szCs w:val="24"/>
          <w:lang w:val="en"/>
        </w:rPr>
      </w:pPr>
      <w:hyperlink r:id="rId8" w:anchor="Carryover" w:history="1">
        <w:r w:rsidR="00EC5D6B" w:rsidRPr="005946F8">
          <w:rPr>
            <w:rStyle w:val="Hyperlink"/>
            <w:rFonts w:ascii="Arial" w:hAnsi="Arial" w:cs="Arial"/>
            <w:b/>
            <w:bCs/>
            <w:color w:val="1F497D" w:themeColor="text2"/>
            <w:sz w:val="24"/>
            <w:szCs w:val="24"/>
            <w:u w:val="none"/>
            <w:lang w:val="en"/>
          </w:rPr>
          <w:t>Carryover</w:t>
        </w:r>
      </w:hyperlink>
      <w:r w:rsidR="00EC5D6B" w:rsidRPr="005946F8">
        <w:rPr>
          <w:rStyle w:val="Strong"/>
          <w:rFonts w:ascii="Arial" w:hAnsi="Arial" w:cs="Arial"/>
          <w:color w:val="1F497D" w:themeColor="text2"/>
          <w:sz w:val="24"/>
          <w:szCs w:val="24"/>
          <w:lang w:val="en"/>
        </w:rPr>
        <w:t xml:space="preserve">: </w:t>
      </w:r>
      <w:r w:rsidR="00EC5D6B" w:rsidRPr="005946F8">
        <w:rPr>
          <w:rFonts w:ascii="Arial" w:hAnsi="Arial" w:cs="Arial"/>
          <w:color w:val="1F497D" w:themeColor="text2"/>
          <w:sz w:val="24"/>
          <w:szCs w:val="24"/>
          <w:lang w:val="en"/>
        </w:rPr>
        <w:t>Unobligated Federal funds remaining at the end of any budget period that, with the approval of the GMO or under an automatic authority, may be carried forward to another budget period to cover allowable costs of that budget period (whether as an offset or additional authorization).</w:t>
      </w:r>
    </w:p>
    <w:p w14:paraId="67A73EAC" w14:textId="77777777" w:rsidR="00EC5D6B" w:rsidRPr="00EC5D6B" w:rsidRDefault="00EC5D6B" w:rsidP="00EC5D6B">
      <w:pPr>
        <w:pStyle w:val="ListParagraph"/>
        <w:rPr>
          <w:rFonts w:ascii="Arial" w:hAnsi="Arial" w:cs="Arial"/>
          <w:color w:val="1F497D" w:themeColor="text2"/>
          <w:sz w:val="24"/>
          <w:szCs w:val="24"/>
          <w:lang w:val="en"/>
        </w:rPr>
      </w:pPr>
    </w:p>
    <w:p w14:paraId="3435E4F3" w14:textId="46BD4FB2" w:rsidR="00EC5D6B" w:rsidRPr="005946F8" w:rsidRDefault="00EC5D6B" w:rsidP="00EC5D6B">
      <w:pPr>
        <w:pStyle w:val="ListParagraph"/>
        <w:rPr>
          <w:rFonts w:ascii="Arial" w:hAnsi="Arial" w:cs="Arial"/>
          <w:color w:val="1F497D" w:themeColor="text2"/>
          <w:sz w:val="24"/>
          <w:szCs w:val="24"/>
          <w:lang w:val="en"/>
        </w:rPr>
      </w:pPr>
      <w:r w:rsidRPr="005946F8">
        <w:rPr>
          <w:rFonts w:ascii="Arial" w:hAnsi="Arial" w:cs="Arial"/>
          <w:color w:val="1F497D" w:themeColor="text2"/>
          <w:sz w:val="24"/>
          <w:szCs w:val="24"/>
          <w:lang w:val="en"/>
        </w:rPr>
        <w:t xml:space="preserve"> </w:t>
      </w:r>
    </w:p>
    <w:p w14:paraId="07B89B7D" w14:textId="77777777" w:rsidR="00690308" w:rsidRDefault="00690308" w:rsidP="00690308">
      <w:pPr>
        <w:pStyle w:val="Informal1"/>
        <w:numPr>
          <w:ilvl w:val="0"/>
          <w:numId w:val="7"/>
        </w:numPr>
        <w:tabs>
          <w:tab w:val="right" w:pos="5472"/>
        </w:tabs>
        <w:rPr>
          <w:rFonts w:ascii="Arial" w:hAnsi="Arial" w:cs="Arial"/>
          <w:b/>
          <w:noProof w:val="0"/>
          <w:color w:val="1F497D" w:themeColor="text2"/>
          <w:sz w:val="24"/>
          <w:szCs w:val="24"/>
        </w:rPr>
      </w:pPr>
      <w:r w:rsidRPr="00C93E25">
        <w:rPr>
          <w:rFonts w:ascii="Arial" w:hAnsi="Arial" w:cs="Arial"/>
          <w:b/>
          <w:noProof w:val="0"/>
          <w:color w:val="1F497D" w:themeColor="text2"/>
          <w:sz w:val="24"/>
          <w:szCs w:val="24"/>
        </w:rPr>
        <w:t xml:space="preserve">Categories of research </w:t>
      </w:r>
    </w:p>
    <w:p w14:paraId="4091482F" w14:textId="77777777" w:rsidR="00B26D8F" w:rsidRPr="002211DC" w:rsidRDefault="00B26D8F" w:rsidP="00B26D8F">
      <w:pPr>
        <w:pStyle w:val="Informal1"/>
        <w:numPr>
          <w:ilvl w:val="1"/>
          <w:numId w:val="7"/>
        </w:numPr>
        <w:tabs>
          <w:tab w:val="right" w:pos="5472"/>
        </w:tabs>
        <w:rPr>
          <w:rFonts w:ascii="Arial" w:hAnsi="Arial" w:cs="Arial"/>
          <w:b/>
          <w:noProof w:val="0"/>
          <w:color w:val="1F497D" w:themeColor="text2"/>
          <w:sz w:val="24"/>
          <w:szCs w:val="24"/>
        </w:rPr>
      </w:pPr>
      <w:r w:rsidRPr="005017D1">
        <w:rPr>
          <w:rFonts w:ascii="Arial" w:hAnsi="Arial" w:cs="Arial"/>
          <w:b/>
          <w:noProof w:val="0"/>
          <w:color w:val="1F497D" w:themeColor="text2"/>
          <w:sz w:val="24"/>
          <w:szCs w:val="24"/>
        </w:rPr>
        <w:t>Basic</w:t>
      </w:r>
      <w:r>
        <w:rPr>
          <w:rFonts w:ascii="Arial" w:hAnsi="Arial" w:cs="Arial"/>
          <w:noProof w:val="0"/>
          <w:color w:val="1F497D" w:themeColor="text2"/>
          <w:sz w:val="24"/>
          <w:szCs w:val="24"/>
        </w:rPr>
        <w:t xml:space="preserve">: </w:t>
      </w:r>
      <w:r w:rsidRPr="00F54489">
        <w:rPr>
          <w:rFonts w:ascii="Arial" w:hAnsi="Arial" w:cs="Arial"/>
          <w:noProof w:val="0"/>
          <w:color w:val="1F497D" w:themeColor="text2"/>
          <w:sz w:val="24"/>
          <w:szCs w:val="24"/>
        </w:rPr>
        <w:t>With basic research in the biomedical sciences, scientists attempt to understand the interaction between individual molecules, the genetic basis behind diseases, the regulation of different metabolic pathways, etc. Basic research is also commonly known as “wet lab” or “bench” research because most experiments are conducted in a laboratory.</w:t>
      </w:r>
    </w:p>
    <w:p w14:paraId="5015D478" w14:textId="77777777" w:rsidR="00B26D8F" w:rsidRPr="00F54489" w:rsidRDefault="00B26D8F" w:rsidP="00B26D8F">
      <w:pPr>
        <w:pStyle w:val="Informal1"/>
        <w:numPr>
          <w:ilvl w:val="1"/>
          <w:numId w:val="7"/>
        </w:numPr>
        <w:tabs>
          <w:tab w:val="right" w:pos="5472"/>
        </w:tabs>
        <w:rPr>
          <w:rFonts w:ascii="Arial" w:hAnsi="Arial" w:cs="Arial"/>
          <w:b/>
          <w:noProof w:val="0"/>
          <w:color w:val="1F497D" w:themeColor="text2"/>
          <w:sz w:val="24"/>
          <w:szCs w:val="24"/>
        </w:rPr>
      </w:pPr>
      <w:r w:rsidRPr="005017D1">
        <w:rPr>
          <w:rFonts w:ascii="Arial" w:hAnsi="Arial" w:cs="Arial"/>
          <w:b/>
          <w:noProof w:val="0"/>
          <w:color w:val="1F497D" w:themeColor="text2"/>
          <w:sz w:val="24"/>
          <w:szCs w:val="24"/>
        </w:rPr>
        <w:t>Clinical</w:t>
      </w:r>
      <w:r>
        <w:rPr>
          <w:rFonts w:ascii="Arial" w:hAnsi="Arial" w:cs="Arial"/>
          <w:noProof w:val="0"/>
          <w:color w:val="1F497D" w:themeColor="text2"/>
          <w:sz w:val="24"/>
          <w:szCs w:val="24"/>
        </w:rPr>
        <w:t xml:space="preserve">: Research that </w:t>
      </w:r>
      <w:r w:rsidRPr="00F54489">
        <w:rPr>
          <w:rFonts w:ascii="Arial" w:hAnsi="Arial" w:cs="Arial"/>
          <w:noProof w:val="0"/>
          <w:color w:val="1F497D" w:themeColor="text2"/>
          <w:sz w:val="24"/>
          <w:szCs w:val="24"/>
          <w:lang w:val="en"/>
        </w:rPr>
        <w:t>determines the safety and effectiveness of medications, devices, diagnostic products and treatment regimens intended for human use. These may be used for prevention, treatment, diagnosis or for relieving symptoms of a disease.</w:t>
      </w:r>
    </w:p>
    <w:p w14:paraId="4DED2379" w14:textId="77777777" w:rsidR="00B26D8F" w:rsidRDefault="00B26D8F" w:rsidP="00B26D8F">
      <w:pPr>
        <w:pStyle w:val="Informal1"/>
        <w:numPr>
          <w:ilvl w:val="1"/>
          <w:numId w:val="7"/>
        </w:numPr>
        <w:tabs>
          <w:tab w:val="right" w:pos="5472"/>
        </w:tabs>
        <w:rPr>
          <w:rFonts w:ascii="Arial" w:hAnsi="Arial" w:cs="Arial"/>
          <w:b/>
          <w:noProof w:val="0"/>
          <w:color w:val="1F497D" w:themeColor="text2"/>
          <w:sz w:val="24"/>
          <w:szCs w:val="24"/>
        </w:rPr>
      </w:pPr>
      <w:r>
        <w:rPr>
          <w:rFonts w:ascii="Arial" w:hAnsi="Arial" w:cs="Arial"/>
          <w:b/>
          <w:noProof w:val="0"/>
          <w:color w:val="1F497D" w:themeColor="text2"/>
          <w:sz w:val="24"/>
          <w:szCs w:val="24"/>
        </w:rPr>
        <w:t xml:space="preserve">Epidemiological: </w:t>
      </w:r>
      <w:r w:rsidRPr="00B26D8F">
        <w:rPr>
          <w:rFonts w:ascii="Arial" w:hAnsi="Arial" w:cs="Arial"/>
          <w:noProof w:val="0"/>
          <w:color w:val="1F497D" w:themeColor="text2"/>
          <w:sz w:val="24"/>
          <w:szCs w:val="24"/>
        </w:rPr>
        <w:t>Epidemiological studies are aimed, where possible, at revealing unbiased relationships between exposures such as alcohol or smoking, biological agents, stress, or chemicals to mortality or morbidity. The identification of causal relationships between these exposures and outcomes is an important aspect of epidemiology.</w:t>
      </w:r>
    </w:p>
    <w:p w14:paraId="1D76CA8D" w14:textId="77777777" w:rsidR="00B26D8F" w:rsidRPr="00B26D8F" w:rsidRDefault="00B26D8F" w:rsidP="00B26D8F">
      <w:pPr>
        <w:pStyle w:val="ListParagraph"/>
        <w:numPr>
          <w:ilvl w:val="1"/>
          <w:numId w:val="7"/>
        </w:numPr>
        <w:rPr>
          <w:rFonts w:ascii="Arial" w:hAnsi="Arial" w:cs="Arial"/>
          <w:b/>
          <w:color w:val="1F497D" w:themeColor="text2"/>
          <w:sz w:val="24"/>
          <w:szCs w:val="24"/>
        </w:rPr>
      </w:pPr>
      <w:r w:rsidRPr="00B26D8F">
        <w:rPr>
          <w:rFonts w:ascii="Arial" w:hAnsi="Arial" w:cs="Arial"/>
          <w:b/>
          <w:color w:val="1F497D" w:themeColor="text2"/>
          <w:sz w:val="24"/>
          <w:szCs w:val="24"/>
        </w:rPr>
        <w:t xml:space="preserve">Genomic: </w:t>
      </w:r>
      <w:r w:rsidRPr="00B26D8F">
        <w:rPr>
          <w:rFonts w:ascii="Arial" w:hAnsi="Arial" w:cs="Arial"/>
          <w:color w:val="1F497D" w:themeColor="text2"/>
          <w:sz w:val="24"/>
          <w:szCs w:val="24"/>
        </w:rPr>
        <w:t>Genomics is a discipline in genetics that applies recombinant DNA, DNA sequencing methods, and bioinformatics to sequence, assemble, and analyze the function and structure of genomes (the complete set of DNA within a single cell of an organism).</w:t>
      </w:r>
    </w:p>
    <w:p w14:paraId="64B43E04" w14:textId="77777777" w:rsidR="00B26D8F" w:rsidRPr="00F54489" w:rsidRDefault="00B26D8F" w:rsidP="00B26D8F">
      <w:pPr>
        <w:pStyle w:val="Informal1"/>
        <w:numPr>
          <w:ilvl w:val="1"/>
          <w:numId w:val="7"/>
        </w:numPr>
        <w:tabs>
          <w:tab w:val="right" w:pos="5472"/>
        </w:tabs>
        <w:rPr>
          <w:rFonts w:ascii="Arial" w:hAnsi="Arial" w:cs="Arial"/>
          <w:b/>
          <w:noProof w:val="0"/>
          <w:color w:val="1F497D" w:themeColor="text2"/>
          <w:sz w:val="24"/>
          <w:szCs w:val="24"/>
        </w:rPr>
      </w:pPr>
      <w:r w:rsidRPr="005017D1">
        <w:rPr>
          <w:rFonts w:ascii="Arial" w:hAnsi="Arial" w:cs="Arial"/>
          <w:b/>
          <w:noProof w:val="0"/>
          <w:color w:val="1F497D" w:themeColor="text2"/>
          <w:sz w:val="24"/>
          <w:szCs w:val="24"/>
        </w:rPr>
        <w:t>Outcomes</w:t>
      </w:r>
      <w:r>
        <w:rPr>
          <w:rFonts w:ascii="Arial" w:hAnsi="Arial" w:cs="Arial"/>
          <w:noProof w:val="0"/>
          <w:color w:val="1F497D" w:themeColor="text2"/>
          <w:sz w:val="24"/>
          <w:szCs w:val="24"/>
        </w:rPr>
        <w:t xml:space="preserve">: </w:t>
      </w:r>
      <w:r>
        <w:rPr>
          <w:rFonts w:ascii="Arial" w:hAnsi="Arial" w:cs="Arial"/>
          <w:noProof w:val="0"/>
          <w:color w:val="1F497D" w:themeColor="text2"/>
          <w:sz w:val="24"/>
          <w:szCs w:val="24"/>
          <w:lang w:val="en"/>
        </w:rPr>
        <w:t>P</w:t>
      </w:r>
      <w:r w:rsidRPr="00F54489">
        <w:rPr>
          <w:rFonts w:ascii="Arial" w:hAnsi="Arial" w:cs="Arial"/>
          <w:noProof w:val="0"/>
          <w:color w:val="1F497D" w:themeColor="text2"/>
          <w:sz w:val="24"/>
          <w:szCs w:val="24"/>
          <w:lang w:val="en"/>
        </w:rPr>
        <w:t>ublic health research, which studies the end results of the structure and processes of health care system</w:t>
      </w:r>
      <w:r>
        <w:rPr>
          <w:rFonts w:ascii="Arial" w:hAnsi="Arial" w:cs="Arial"/>
          <w:noProof w:val="0"/>
          <w:color w:val="1F497D" w:themeColor="text2"/>
          <w:sz w:val="24"/>
          <w:szCs w:val="24"/>
          <w:lang w:val="en"/>
        </w:rPr>
        <w:t>s</w:t>
      </w:r>
      <w:r w:rsidRPr="00F54489">
        <w:rPr>
          <w:rFonts w:ascii="Arial" w:hAnsi="Arial" w:cs="Arial"/>
          <w:noProof w:val="0"/>
          <w:color w:val="1F497D" w:themeColor="text2"/>
          <w:sz w:val="24"/>
          <w:szCs w:val="24"/>
          <w:lang w:val="en"/>
        </w:rPr>
        <w:t xml:space="preserve"> on the health, and well-being of patients and populations</w:t>
      </w:r>
    </w:p>
    <w:p w14:paraId="5031B39F" w14:textId="77777777" w:rsidR="00690308" w:rsidRPr="00F54489" w:rsidRDefault="00690308" w:rsidP="00690308">
      <w:pPr>
        <w:pStyle w:val="Informal1"/>
        <w:numPr>
          <w:ilvl w:val="1"/>
          <w:numId w:val="7"/>
        </w:numPr>
        <w:tabs>
          <w:tab w:val="right" w:pos="5472"/>
        </w:tabs>
        <w:rPr>
          <w:rFonts w:ascii="Arial" w:hAnsi="Arial" w:cs="Arial"/>
          <w:b/>
          <w:noProof w:val="0"/>
          <w:color w:val="1F497D" w:themeColor="text2"/>
          <w:sz w:val="24"/>
          <w:szCs w:val="24"/>
        </w:rPr>
      </w:pPr>
      <w:r w:rsidRPr="005017D1">
        <w:rPr>
          <w:rFonts w:ascii="Arial" w:hAnsi="Arial" w:cs="Arial"/>
          <w:b/>
          <w:noProof w:val="0"/>
          <w:color w:val="1F497D" w:themeColor="text2"/>
          <w:sz w:val="24"/>
          <w:szCs w:val="24"/>
        </w:rPr>
        <w:t>Qualitative</w:t>
      </w:r>
      <w:r>
        <w:rPr>
          <w:rFonts w:ascii="Arial" w:hAnsi="Arial" w:cs="Arial"/>
          <w:noProof w:val="0"/>
          <w:color w:val="1F497D" w:themeColor="text2"/>
          <w:sz w:val="24"/>
          <w:szCs w:val="24"/>
        </w:rPr>
        <w:t xml:space="preserve">: </w:t>
      </w:r>
      <w:r>
        <w:rPr>
          <w:rFonts w:ascii="Arial" w:hAnsi="Arial" w:cs="Arial"/>
          <w:noProof w:val="0"/>
          <w:color w:val="1F497D" w:themeColor="text2"/>
          <w:sz w:val="24"/>
          <w:szCs w:val="24"/>
          <w:lang w:val="en"/>
        </w:rPr>
        <w:t>Research which seeks and u</w:t>
      </w:r>
      <w:r w:rsidRPr="00F54489">
        <w:rPr>
          <w:rFonts w:ascii="Arial" w:hAnsi="Arial" w:cs="Arial"/>
          <w:noProof w:val="0"/>
          <w:color w:val="1F497D" w:themeColor="text2"/>
          <w:sz w:val="24"/>
          <w:szCs w:val="24"/>
          <w:lang w:val="en"/>
        </w:rPr>
        <w:t>nderstanding of human behavior and the reasons that govern such behavior.</w:t>
      </w:r>
    </w:p>
    <w:p w14:paraId="1DC4B0DB" w14:textId="77777777" w:rsidR="00690308" w:rsidRPr="00F54489" w:rsidRDefault="00690308" w:rsidP="00690308">
      <w:pPr>
        <w:pStyle w:val="Informal1"/>
        <w:numPr>
          <w:ilvl w:val="1"/>
          <w:numId w:val="7"/>
        </w:numPr>
        <w:tabs>
          <w:tab w:val="right" w:pos="5472"/>
        </w:tabs>
        <w:rPr>
          <w:rFonts w:ascii="Arial" w:hAnsi="Arial" w:cs="Arial"/>
          <w:b/>
          <w:noProof w:val="0"/>
          <w:color w:val="1F497D" w:themeColor="text2"/>
          <w:sz w:val="24"/>
          <w:szCs w:val="24"/>
        </w:rPr>
      </w:pPr>
      <w:r w:rsidRPr="005017D1">
        <w:rPr>
          <w:rFonts w:ascii="Arial" w:hAnsi="Arial" w:cs="Arial"/>
          <w:b/>
          <w:noProof w:val="0"/>
          <w:color w:val="1F497D" w:themeColor="text2"/>
          <w:sz w:val="24"/>
          <w:szCs w:val="24"/>
        </w:rPr>
        <w:t>Quantitative</w:t>
      </w:r>
      <w:r>
        <w:rPr>
          <w:rFonts w:ascii="Arial" w:hAnsi="Arial" w:cs="Arial"/>
          <w:noProof w:val="0"/>
          <w:color w:val="1F497D" w:themeColor="text2"/>
          <w:sz w:val="24"/>
          <w:szCs w:val="24"/>
        </w:rPr>
        <w:t xml:space="preserve">: </w:t>
      </w:r>
      <w:r w:rsidRPr="00F54489">
        <w:rPr>
          <w:rFonts w:ascii="Arial" w:hAnsi="Arial" w:cs="Arial"/>
          <w:noProof w:val="0"/>
          <w:color w:val="1F497D" w:themeColor="text2"/>
          <w:sz w:val="24"/>
          <w:szCs w:val="24"/>
          <w:lang w:val="en"/>
        </w:rPr>
        <w:t>Systematic investigation of properties and phenomena and their relationships. Asking a narrow question and collecting numerical data to analyze utilizing statistical methods.</w:t>
      </w:r>
    </w:p>
    <w:p w14:paraId="096CAA64" w14:textId="77777777" w:rsidR="00B26D8F" w:rsidRPr="00B26D8F" w:rsidRDefault="00B26D8F" w:rsidP="00B26D8F">
      <w:pPr>
        <w:pStyle w:val="ListParagraph"/>
        <w:numPr>
          <w:ilvl w:val="1"/>
          <w:numId w:val="7"/>
        </w:numPr>
        <w:rPr>
          <w:rFonts w:ascii="Arial" w:hAnsi="Arial" w:cs="Arial"/>
          <w:b/>
          <w:color w:val="1F497D" w:themeColor="text2"/>
          <w:sz w:val="24"/>
          <w:szCs w:val="24"/>
        </w:rPr>
      </w:pPr>
      <w:r w:rsidRPr="006370CF">
        <w:rPr>
          <w:rFonts w:ascii="Arial" w:hAnsi="Arial" w:cs="Arial"/>
          <w:b/>
          <w:color w:val="1F497D" w:themeColor="text2"/>
          <w:sz w:val="24"/>
          <w:szCs w:val="24"/>
        </w:rPr>
        <w:t xml:space="preserve">Registry: </w:t>
      </w:r>
      <w:r w:rsidRPr="006370CF">
        <w:rPr>
          <w:rFonts w:ascii="Arial" w:hAnsi="Arial" w:cs="Arial"/>
          <w:color w:val="1F497D" w:themeColor="text2"/>
          <w:sz w:val="24"/>
          <w:szCs w:val="24"/>
        </w:rPr>
        <w:t>A registry is an organized system that uses observational study</w:t>
      </w:r>
      <w:r>
        <w:rPr>
          <w:rFonts w:ascii="Arial" w:hAnsi="Arial" w:cs="Arial"/>
          <w:color w:val="1F497D" w:themeColor="text2"/>
          <w:sz w:val="24"/>
          <w:szCs w:val="24"/>
        </w:rPr>
        <w:t xml:space="preserve"> </w:t>
      </w:r>
      <w:r w:rsidRPr="006370CF">
        <w:rPr>
          <w:rFonts w:ascii="Arial" w:hAnsi="Arial" w:cs="Arial"/>
          <w:color w:val="1F497D" w:themeColor="text2"/>
          <w:sz w:val="24"/>
          <w:szCs w:val="24"/>
        </w:rPr>
        <w:t>methods to collect uniform data (clinical and other) to evaluate specified outcomes for a population defined by a particular disease, condition, or exposure, and that serves one or more predetermined scientific, clinical, or policy purposes.</w:t>
      </w:r>
    </w:p>
    <w:p w14:paraId="06236879" w14:textId="77777777" w:rsidR="00690308" w:rsidRPr="00F54489" w:rsidRDefault="00690308" w:rsidP="00690308">
      <w:pPr>
        <w:pStyle w:val="Informal1"/>
        <w:numPr>
          <w:ilvl w:val="1"/>
          <w:numId w:val="7"/>
        </w:numPr>
        <w:tabs>
          <w:tab w:val="right" w:pos="5472"/>
        </w:tabs>
        <w:rPr>
          <w:rFonts w:ascii="Arial" w:hAnsi="Arial" w:cs="Arial"/>
          <w:b/>
          <w:noProof w:val="0"/>
          <w:color w:val="1F497D" w:themeColor="text2"/>
          <w:sz w:val="24"/>
          <w:szCs w:val="24"/>
        </w:rPr>
      </w:pPr>
      <w:r w:rsidRPr="005017D1">
        <w:rPr>
          <w:rFonts w:ascii="Arial" w:hAnsi="Arial" w:cs="Arial"/>
          <w:b/>
          <w:noProof w:val="0"/>
          <w:color w:val="1F497D" w:themeColor="text2"/>
          <w:sz w:val="24"/>
          <w:szCs w:val="24"/>
        </w:rPr>
        <w:t>Translational</w:t>
      </w:r>
      <w:r>
        <w:rPr>
          <w:rFonts w:ascii="Arial" w:hAnsi="Arial" w:cs="Arial"/>
          <w:noProof w:val="0"/>
          <w:color w:val="1F497D" w:themeColor="text2"/>
          <w:sz w:val="24"/>
          <w:szCs w:val="24"/>
        </w:rPr>
        <w:t xml:space="preserve">: </w:t>
      </w:r>
      <w:r>
        <w:rPr>
          <w:rFonts w:ascii="Arial" w:hAnsi="Arial" w:cs="Arial"/>
          <w:noProof w:val="0"/>
          <w:color w:val="1F497D" w:themeColor="text2"/>
          <w:sz w:val="24"/>
          <w:szCs w:val="24"/>
          <w:lang w:val="en"/>
        </w:rPr>
        <w:t>A</w:t>
      </w:r>
      <w:r w:rsidRPr="00F54489">
        <w:rPr>
          <w:rFonts w:ascii="Arial" w:hAnsi="Arial" w:cs="Arial"/>
          <w:noProof w:val="0"/>
          <w:color w:val="1F497D" w:themeColor="text2"/>
          <w:sz w:val="24"/>
          <w:szCs w:val="24"/>
          <w:lang w:val="en"/>
        </w:rPr>
        <w:t xml:space="preserve">pplies findings from basic science to enhance human health and well-being. In a medical research context, it aims to "translate" findings in basic research into medical and nursing practice and </w:t>
      </w:r>
      <w:r w:rsidRPr="00F54489">
        <w:rPr>
          <w:rFonts w:ascii="Arial" w:hAnsi="Arial" w:cs="Arial"/>
          <w:noProof w:val="0"/>
          <w:color w:val="1F497D" w:themeColor="text2"/>
          <w:sz w:val="24"/>
          <w:szCs w:val="24"/>
          <w:lang w:val="en"/>
        </w:rPr>
        <w:lastRenderedPageBreak/>
        <w:t>meaningful health outcomes. Translational research implements a “bench-to-bedside”</w:t>
      </w:r>
      <w:r>
        <w:rPr>
          <w:rFonts w:ascii="Arial" w:hAnsi="Arial" w:cs="Arial"/>
          <w:noProof w:val="0"/>
          <w:color w:val="1F497D" w:themeColor="text2"/>
          <w:sz w:val="24"/>
          <w:szCs w:val="24"/>
          <w:lang w:val="en"/>
        </w:rPr>
        <w:t xml:space="preserve"> approach</w:t>
      </w:r>
      <w:r w:rsidRPr="00F54489">
        <w:rPr>
          <w:rFonts w:ascii="Arial" w:hAnsi="Arial" w:cs="Arial"/>
          <w:noProof w:val="0"/>
          <w:color w:val="1F497D" w:themeColor="text2"/>
          <w:sz w:val="24"/>
          <w:szCs w:val="24"/>
          <w:lang w:val="en"/>
        </w:rPr>
        <w:t>, from laboratory experiments through clinical trials to point-of-care patient applications</w:t>
      </w:r>
    </w:p>
    <w:p w14:paraId="17CB2E41" w14:textId="77777777" w:rsidR="00690308" w:rsidRPr="002211DC" w:rsidRDefault="00690308" w:rsidP="002211DC">
      <w:pPr>
        <w:pStyle w:val="Informal1"/>
        <w:tabs>
          <w:tab w:val="right" w:pos="5472"/>
        </w:tabs>
        <w:rPr>
          <w:rFonts w:ascii="Verdana" w:hAnsi="Verdana"/>
          <w:lang w:val="en"/>
        </w:rPr>
      </w:pPr>
    </w:p>
    <w:p w14:paraId="4CBEBDE2" w14:textId="77777777" w:rsidR="00690308" w:rsidRPr="00356BF3" w:rsidRDefault="00690308" w:rsidP="00801669">
      <w:pPr>
        <w:pStyle w:val="Informal1"/>
        <w:tabs>
          <w:tab w:val="right" w:pos="5472"/>
        </w:tabs>
        <w:spacing w:before="0" w:after="0"/>
        <w:rPr>
          <w:rFonts w:ascii="Arial" w:hAnsi="Arial" w:cs="Arial"/>
          <w:b/>
          <w:noProof w:val="0"/>
          <w:color w:val="1F497D" w:themeColor="text2"/>
          <w:sz w:val="24"/>
          <w:szCs w:val="24"/>
        </w:rPr>
      </w:pPr>
    </w:p>
    <w:p w14:paraId="067D8F32" w14:textId="77777777" w:rsidR="002211DC" w:rsidRPr="007C5B35" w:rsidRDefault="002211DC" w:rsidP="002211DC">
      <w:pPr>
        <w:pStyle w:val="Informal1"/>
        <w:numPr>
          <w:ilvl w:val="0"/>
          <w:numId w:val="7"/>
        </w:numPr>
        <w:tabs>
          <w:tab w:val="right" w:pos="5472"/>
        </w:tabs>
        <w:rPr>
          <w:rFonts w:ascii="Arial" w:hAnsi="Arial" w:cs="Arial"/>
          <w:b/>
          <w:noProof w:val="0"/>
          <w:color w:val="1F497D" w:themeColor="text2"/>
          <w:sz w:val="24"/>
          <w:szCs w:val="24"/>
        </w:rPr>
      </w:pPr>
      <w:r w:rsidRPr="00480DA5">
        <w:rPr>
          <w:rFonts w:ascii="Arial" w:hAnsi="Arial" w:cs="Arial"/>
          <w:b/>
          <w:noProof w:val="0"/>
          <w:color w:val="1F497D" w:themeColor="text2"/>
          <w:sz w:val="24"/>
          <w:szCs w:val="24"/>
        </w:rPr>
        <w:t xml:space="preserve">Consultant: </w:t>
      </w:r>
      <w:r w:rsidRPr="005946F8">
        <w:rPr>
          <w:rFonts w:ascii="Arial" w:hAnsi="Arial" w:cs="Arial"/>
          <w:color w:val="1F497D" w:themeColor="text2"/>
          <w:sz w:val="24"/>
          <w:szCs w:val="24"/>
          <w:lang w:val="en"/>
        </w:rPr>
        <w:t>An individual who provides professional advice or services for a fee, but normally not as an employee of the engaging party</w:t>
      </w:r>
      <w:r>
        <w:rPr>
          <w:rFonts w:ascii="Verdana" w:hAnsi="Verdana"/>
          <w:lang w:val="en"/>
        </w:rPr>
        <w:t>.</w:t>
      </w:r>
      <w:r>
        <w:rPr>
          <w:rFonts w:ascii="Arial" w:hAnsi="Arial" w:cs="Arial"/>
          <w:noProof w:val="0"/>
          <w:color w:val="1F497D" w:themeColor="text2"/>
          <w:sz w:val="24"/>
          <w:szCs w:val="24"/>
        </w:rPr>
        <w:t>The contractor provides goods and services ancillary to the operation of the federal grant and is not subject to the compliance requirements of the federal program.</w:t>
      </w:r>
    </w:p>
    <w:p w14:paraId="0196041B" w14:textId="77777777" w:rsidR="00690308" w:rsidRDefault="00690308" w:rsidP="00690308">
      <w:pPr>
        <w:pStyle w:val="ListParagraph"/>
        <w:rPr>
          <w:rFonts w:ascii="Arial" w:hAnsi="Arial" w:cs="Arial"/>
          <w:b/>
          <w:color w:val="1F497D" w:themeColor="text2"/>
          <w:sz w:val="24"/>
          <w:szCs w:val="24"/>
        </w:rPr>
      </w:pPr>
    </w:p>
    <w:p w14:paraId="732829B1" w14:textId="77777777" w:rsidR="00690308" w:rsidRPr="00690308" w:rsidRDefault="00690308" w:rsidP="00690308">
      <w:pPr>
        <w:pStyle w:val="ListParagraph"/>
        <w:numPr>
          <w:ilvl w:val="0"/>
          <w:numId w:val="7"/>
        </w:numPr>
        <w:spacing w:before="240"/>
        <w:rPr>
          <w:rFonts w:ascii="Verdana" w:hAnsi="Verdana"/>
          <w:color w:val="000000"/>
          <w:sz w:val="22"/>
          <w:szCs w:val="22"/>
        </w:rPr>
      </w:pPr>
      <w:r w:rsidRPr="00A31D29">
        <w:rPr>
          <w:rFonts w:ascii="Arial" w:hAnsi="Arial" w:cs="Arial"/>
          <w:b/>
          <w:color w:val="1F497D" w:themeColor="text2"/>
          <w:sz w:val="24"/>
          <w:szCs w:val="24"/>
        </w:rPr>
        <w:t xml:space="preserve">Cost sharing: </w:t>
      </w:r>
      <w:r w:rsidRPr="00836244">
        <w:rPr>
          <w:rFonts w:ascii="Arial" w:hAnsi="Arial" w:cs="Arial"/>
          <w:color w:val="1F497D" w:themeColor="text2"/>
          <w:sz w:val="24"/>
          <w:szCs w:val="24"/>
        </w:rPr>
        <w:t xml:space="preserve">Cost sharing represents that portion of the total project costs of a sponsored agreement that are not borne by the sponsor or sponsors of the project. These costs are borne by the </w:t>
      </w:r>
      <w:r>
        <w:rPr>
          <w:rFonts w:ascii="Arial" w:hAnsi="Arial" w:cs="Arial"/>
          <w:color w:val="1F497D" w:themeColor="text2"/>
          <w:sz w:val="24"/>
          <w:szCs w:val="24"/>
        </w:rPr>
        <w:t>organization</w:t>
      </w:r>
      <w:r w:rsidRPr="00836244">
        <w:rPr>
          <w:rFonts w:ascii="Arial" w:hAnsi="Arial" w:cs="Arial"/>
          <w:color w:val="1F497D" w:themeColor="text2"/>
          <w:sz w:val="24"/>
          <w:szCs w:val="24"/>
        </w:rPr>
        <w:t xml:space="preserve"> or other non-federal third parties, rather than by the sponsor. Cost sharing can be required by the sponsor or volunteered by a principal investigator (PI); regardless, any commitment of effort referenced in the project proposal or the award document must be honored, reported, and captured in an effort reporting system.</w:t>
      </w:r>
    </w:p>
    <w:p w14:paraId="66D459BF" w14:textId="77777777" w:rsidR="00690308" w:rsidRPr="002211DC" w:rsidRDefault="00690308" w:rsidP="00690308">
      <w:pPr>
        <w:pStyle w:val="ListParagraph"/>
        <w:rPr>
          <w:rFonts w:ascii="Verdana" w:hAnsi="Verdana"/>
          <w:color w:val="000000"/>
          <w:sz w:val="22"/>
        </w:rPr>
      </w:pPr>
    </w:p>
    <w:p w14:paraId="7B83CFB9" w14:textId="41F91856" w:rsidR="00690308" w:rsidRPr="00D42BE6" w:rsidRDefault="00D42BE6" w:rsidP="00690308">
      <w:pPr>
        <w:pStyle w:val="Informal1"/>
        <w:numPr>
          <w:ilvl w:val="0"/>
          <w:numId w:val="7"/>
        </w:numPr>
        <w:tabs>
          <w:tab w:val="right" w:pos="5472"/>
        </w:tabs>
        <w:rPr>
          <w:rFonts w:ascii="Arial" w:hAnsi="Arial" w:cs="Arial"/>
          <w:b/>
          <w:noProof w:val="0"/>
          <w:color w:val="1F497D" w:themeColor="text2"/>
          <w:sz w:val="24"/>
          <w:szCs w:val="24"/>
        </w:rPr>
      </w:pPr>
      <w:r w:rsidRPr="00D42BE6">
        <w:rPr>
          <w:rFonts w:ascii="Arial" w:hAnsi="Arial" w:cs="Arial"/>
          <w:b/>
          <w:noProof w:val="0"/>
          <w:color w:val="1F497D" w:themeColor="text2"/>
          <w:sz w:val="24"/>
          <w:szCs w:val="24"/>
        </w:rPr>
        <w:t>Deferred revenue</w:t>
      </w:r>
      <w:r w:rsidR="00F4454F" w:rsidRPr="00D42BE6">
        <w:rPr>
          <w:rFonts w:ascii="Arial" w:hAnsi="Arial" w:cs="Arial"/>
          <w:noProof w:val="0"/>
          <w:color w:val="1F497D" w:themeColor="text2"/>
          <w:sz w:val="24"/>
          <w:szCs w:val="24"/>
        </w:rPr>
        <w:t xml:space="preserve">: </w:t>
      </w:r>
      <w:r w:rsidR="002E50FC" w:rsidRPr="00D42BE6">
        <w:rPr>
          <w:rFonts w:ascii="Arial" w:hAnsi="Arial" w:cs="Arial"/>
          <w:noProof w:val="0"/>
          <w:color w:val="1F497D" w:themeColor="text2"/>
          <w:sz w:val="24"/>
          <w:szCs w:val="24"/>
        </w:rPr>
        <w:t>Also called unearned revenue. Refers to money received by an organization (Providence) bef</w:t>
      </w:r>
      <w:r w:rsidR="0075251E">
        <w:rPr>
          <w:rFonts w:ascii="Arial" w:hAnsi="Arial" w:cs="Arial"/>
          <w:noProof w:val="0"/>
          <w:color w:val="1F497D" w:themeColor="text2"/>
          <w:sz w:val="24"/>
          <w:szCs w:val="24"/>
        </w:rPr>
        <w:t>ore it provides the services ow</w:t>
      </w:r>
      <w:r w:rsidR="002E50FC" w:rsidRPr="00D42BE6">
        <w:rPr>
          <w:rFonts w:ascii="Arial" w:hAnsi="Arial" w:cs="Arial"/>
          <w:noProof w:val="0"/>
          <w:color w:val="1F497D" w:themeColor="text2"/>
          <w:sz w:val="24"/>
          <w:szCs w:val="24"/>
        </w:rPr>
        <w:t>ed. Revenue is recorded as such when it is earned, rather than when it is received.</w:t>
      </w:r>
    </w:p>
    <w:p w14:paraId="0AC4D629" w14:textId="77777777" w:rsidR="00690308" w:rsidRPr="00690308" w:rsidRDefault="00690308" w:rsidP="00690308">
      <w:pPr>
        <w:pStyle w:val="ListParagraph"/>
        <w:spacing w:before="240"/>
        <w:rPr>
          <w:rFonts w:ascii="Verdana" w:hAnsi="Verdana"/>
          <w:color w:val="000000"/>
          <w:sz w:val="22"/>
          <w:szCs w:val="22"/>
        </w:rPr>
      </w:pPr>
    </w:p>
    <w:p w14:paraId="3C589060" w14:textId="77777777" w:rsidR="00690308" w:rsidRPr="00690308" w:rsidRDefault="00690308" w:rsidP="00690308">
      <w:pPr>
        <w:pStyle w:val="Informal1"/>
        <w:numPr>
          <w:ilvl w:val="0"/>
          <w:numId w:val="7"/>
        </w:numPr>
        <w:tabs>
          <w:tab w:val="right" w:pos="5472"/>
        </w:tabs>
        <w:spacing w:before="0" w:after="0"/>
        <w:rPr>
          <w:rFonts w:ascii="Arial" w:hAnsi="Arial" w:cs="Arial"/>
          <w:b/>
          <w:noProof w:val="0"/>
          <w:color w:val="1F497D" w:themeColor="text2"/>
          <w:sz w:val="24"/>
          <w:szCs w:val="24"/>
        </w:rPr>
      </w:pPr>
      <w:r>
        <w:rPr>
          <w:rFonts w:ascii="Arial" w:hAnsi="Arial" w:cs="Arial"/>
          <w:b/>
          <w:noProof w:val="0"/>
          <w:color w:val="1F497D" w:themeColor="text2"/>
          <w:sz w:val="24"/>
          <w:szCs w:val="24"/>
        </w:rPr>
        <w:t>Development Funds:</w:t>
      </w:r>
      <w:r w:rsidRPr="00380A49">
        <w:rPr>
          <w:rFonts w:ascii="Arial" w:hAnsi="Arial" w:cs="Arial"/>
          <w:noProof w:val="0"/>
          <w:color w:val="1F497D" w:themeColor="text2"/>
          <w:sz w:val="24"/>
          <w:szCs w:val="24"/>
        </w:rPr>
        <w:t xml:space="preserve"> </w:t>
      </w:r>
      <w:r>
        <w:rPr>
          <w:rFonts w:ascii="Arial" w:hAnsi="Arial" w:cs="Arial"/>
          <w:noProof w:val="0"/>
          <w:color w:val="1F497D" w:themeColor="text2"/>
          <w:sz w:val="24"/>
          <w:szCs w:val="24"/>
        </w:rPr>
        <w:t>Represent an investment by Providence in research. These are funded by Providence generally through the return of all or part of the indirect revenue a grant receives. Residual balances from fixed-price agreements can also be used to fund development accounts. Development funds can be used to bridge salary support between sponsored studies, pay for travel, purchase equipment, staff professional development, or to fund initial research.</w:t>
      </w:r>
    </w:p>
    <w:p w14:paraId="15D6533D" w14:textId="77777777" w:rsidR="00690308" w:rsidRDefault="00690308" w:rsidP="00690308">
      <w:pPr>
        <w:pStyle w:val="ListParagraph"/>
        <w:rPr>
          <w:rFonts w:ascii="Arial" w:hAnsi="Arial" w:cs="Arial"/>
          <w:color w:val="1F497D" w:themeColor="text2"/>
          <w:sz w:val="24"/>
          <w:szCs w:val="24"/>
        </w:rPr>
      </w:pPr>
    </w:p>
    <w:p w14:paraId="5A43FDBC" w14:textId="77777777" w:rsidR="00690308" w:rsidRDefault="00690308" w:rsidP="00690308">
      <w:pPr>
        <w:pStyle w:val="Informal1"/>
        <w:numPr>
          <w:ilvl w:val="0"/>
          <w:numId w:val="7"/>
        </w:numPr>
        <w:tabs>
          <w:tab w:val="right" w:pos="5472"/>
        </w:tabs>
        <w:spacing w:before="0" w:after="0"/>
        <w:rPr>
          <w:rFonts w:ascii="Arial" w:hAnsi="Arial" w:cs="Arial"/>
          <w:noProof w:val="0"/>
          <w:color w:val="1F497D" w:themeColor="text2"/>
          <w:sz w:val="24"/>
          <w:szCs w:val="24"/>
        </w:rPr>
      </w:pPr>
      <w:r>
        <w:rPr>
          <w:rFonts w:ascii="Arial" w:hAnsi="Arial" w:cs="Arial"/>
          <w:b/>
          <w:noProof w:val="0"/>
          <w:color w:val="1F497D" w:themeColor="text2"/>
          <w:sz w:val="24"/>
          <w:szCs w:val="24"/>
        </w:rPr>
        <w:t>Federal Awards:</w:t>
      </w:r>
      <w:r>
        <w:rPr>
          <w:rFonts w:ascii="Arial" w:hAnsi="Arial" w:cs="Arial"/>
          <w:noProof w:val="0"/>
          <w:color w:val="1F497D" w:themeColor="text2"/>
          <w:sz w:val="24"/>
          <w:szCs w:val="24"/>
        </w:rPr>
        <w:t xml:space="preserve"> Many federal funds are awarded on a cost-reimbursement basis meaning they cannot make a profit on the direct costs. Federal awards reimburse indirect overhead expenses at a negotiated rate generally based on the hospital’s Medicare Cost Report. When indirect revenue is recorded an off-setting non-cash expense is also recorded. Reimbursement is generally requested monthly via a cash draw mechanism. </w:t>
      </w:r>
    </w:p>
    <w:p w14:paraId="7D6A066F" w14:textId="77777777" w:rsidR="00690308" w:rsidRDefault="00690308" w:rsidP="00690308">
      <w:pPr>
        <w:pStyle w:val="Informal1"/>
        <w:tabs>
          <w:tab w:val="right" w:pos="5472"/>
        </w:tabs>
        <w:spacing w:before="0" w:after="0"/>
        <w:rPr>
          <w:rFonts w:ascii="Arial" w:hAnsi="Arial" w:cs="Arial"/>
          <w:noProof w:val="0"/>
          <w:color w:val="1F497D" w:themeColor="text2"/>
          <w:sz w:val="24"/>
          <w:szCs w:val="24"/>
        </w:rPr>
      </w:pPr>
    </w:p>
    <w:p w14:paraId="6785DB2A" w14:textId="77777777" w:rsidR="00690308" w:rsidRPr="00690308" w:rsidRDefault="00690308" w:rsidP="00690308">
      <w:pPr>
        <w:pStyle w:val="Informal1"/>
        <w:numPr>
          <w:ilvl w:val="0"/>
          <w:numId w:val="7"/>
        </w:numPr>
        <w:tabs>
          <w:tab w:val="right" w:pos="5472"/>
        </w:tabs>
        <w:spacing w:before="0" w:after="0"/>
        <w:rPr>
          <w:rFonts w:ascii="Arial" w:hAnsi="Arial" w:cs="Arial"/>
          <w:noProof w:val="0"/>
          <w:color w:val="1F497D" w:themeColor="text2"/>
          <w:sz w:val="24"/>
          <w:szCs w:val="24"/>
        </w:rPr>
      </w:pPr>
      <w:r>
        <w:rPr>
          <w:rFonts w:ascii="Arial" w:hAnsi="Arial" w:cs="Arial"/>
          <w:b/>
          <w:noProof w:val="0"/>
          <w:color w:val="1F497D" w:themeColor="text2"/>
          <w:sz w:val="24"/>
          <w:szCs w:val="24"/>
        </w:rPr>
        <w:t>For-Profit:</w:t>
      </w:r>
      <w:r>
        <w:rPr>
          <w:rFonts w:ascii="Arial" w:hAnsi="Arial" w:cs="Arial"/>
          <w:noProof w:val="0"/>
          <w:color w:val="1F497D" w:themeColor="text2"/>
          <w:sz w:val="24"/>
          <w:szCs w:val="24"/>
        </w:rPr>
        <w:t xml:space="preserve"> Most of the “For-Profit” category is industry sponsored clinical trials. Generally these are fixed fee agreements with payments based on achieving agreed upon milestones. The fee for the milestones should include consideration for indirect overhead expenses and is determined during the negotiation process with sponsor. There are a number of methods for receiving payments and an individual trial may have more than one method. Some payments are made automatically such as start-up costs payable upon execution of the contract or payments made on set time intervals. Some payments are made based on </w:t>
      </w:r>
      <w:r>
        <w:rPr>
          <w:rFonts w:ascii="Arial" w:hAnsi="Arial" w:cs="Arial"/>
          <w:noProof w:val="0"/>
          <w:color w:val="1F497D" w:themeColor="text2"/>
          <w:sz w:val="24"/>
          <w:szCs w:val="24"/>
        </w:rPr>
        <w:lastRenderedPageBreak/>
        <w:t>invoices we submit. The majority of payments are based upon the sponsor’s review of the Case Report Form, generally we don’t know what we will be paid for until we receive the payment. Some sponsors also have a 10-20% holdback on all payments until the trial is completed to their satisfaction.</w:t>
      </w:r>
    </w:p>
    <w:p w14:paraId="1535CA6E" w14:textId="77777777" w:rsidR="00690308" w:rsidRPr="002211DC" w:rsidRDefault="00690308" w:rsidP="002211DC">
      <w:pPr>
        <w:pStyle w:val="ListParagraph"/>
        <w:rPr>
          <w:rFonts w:ascii="Arial" w:hAnsi="Arial"/>
          <w:b/>
          <w:color w:val="1F497D" w:themeColor="text2"/>
          <w:sz w:val="24"/>
        </w:rPr>
      </w:pPr>
    </w:p>
    <w:p w14:paraId="4BA38E37" w14:textId="77777777" w:rsidR="00690308" w:rsidRPr="00690308" w:rsidRDefault="00690308" w:rsidP="00690308">
      <w:pPr>
        <w:pStyle w:val="Informal1"/>
        <w:numPr>
          <w:ilvl w:val="0"/>
          <w:numId w:val="7"/>
        </w:numPr>
        <w:tabs>
          <w:tab w:val="right" w:pos="5472"/>
        </w:tabs>
        <w:spacing w:before="0" w:after="0"/>
        <w:rPr>
          <w:rFonts w:ascii="Arial" w:hAnsi="Arial" w:cs="Arial"/>
          <w:b/>
          <w:noProof w:val="0"/>
          <w:color w:val="1F497D" w:themeColor="text2"/>
          <w:sz w:val="24"/>
          <w:szCs w:val="24"/>
        </w:rPr>
      </w:pPr>
      <w:r>
        <w:rPr>
          <w:rFonts w:ascii="Arial" w:hAnsi="Arial" w:cs="Arial"/>
          <w:b/>
          <w:noProof w:val="0"/>
          <w:color w:val="1F497D" w:themeColor="text2"/>
          <w:sz w:val="24"/>
          <w:szCs w:val="24"/>
        </w:rPr>
        <w:t>Fringe Benefits:</w:t>
      </w:r>
      <w:r>
        <w:rPr>
          <w:rFonts w:ascii="Arial" w:hAnsi="Arial" w:cs="Arial"/>
          <w:noProof w:val="0"/>
          <w:color w:val="1F497D" w:themeColor="text2"/>
          <w:sz w:val="24"/>
          <w:szCs w:val="24"/>
        </w:rPr>
        <w:t xml:space="preserve"> Direct charge to federal grants applied as a pre-negotiated percentage against salary provided such costs are incurred under established and consistently applied policies and practices of the organization. </w:t>
      </w:r>
    </w:p>
    <w:p w14:paraId="5C93ACEB" w14:textId="77777777" w:rsidR="00690308" w:rsidRPr="002211DC" w:rsidRDefault="00690308" w:rsidP="002211DC">
      <w:pPr>
        <w:rPr>
          <w:rFonts w:ascii="Arial" w:hAnsi="Arial"/>
          <w:color w:val="1F497D" w:themeColor="text2"/>
          <w:sz w:val="24"/>
        </w:rPr>
      </w:pPr>
    </w:p>
    <w:p w14:paraId="285DA484" w14:textId="6170F733" w:rsidR="00690308" w:rsidRPr="00D42BE6" w:rsidRDefault="00690308" w:rsidP="007A7DDC">
      <w:pPr>
        <w:pStyle w:val="Informal1"/>
        <w:numPr>
          <w:ilvl w:val="0"/>
          <w:numId w:val="7"/>
        </w:numPr>
        <w:tabs>
          <w:tab w:val="right" w:pos="5472"/>
        </w:tabs>
        <w:rPr>
          <w:rFonts w:ascii="Arial" w:hAnsi="Arial" w:cs="Arial"/>
          <w:b/>
          <w:color w:val="1F497D" w:themeColor="text2"/>
          <w:sz w:val="24"/>
          <w:szCs w:val="24"/>
        </w:rPr>
      </w:pPr>
      <w:r w:rsidRPr="00D42BE6">
        <w:rPr>
          <w:rFonts w:ascii="Arial" w:hAnsi="Arial" w:cs="Arial"/>
          <w:b/>
          <w:noProof w:val="0"/>
          <w:color w:val="1F497D" w:themeColor="text2"/>
          <w:sz w:val="24"/>
          <w:szCs w:val="24"/>
        </w:rPr>
        <w:t>GAAP - Generally Accepted Accounting Principles</w:t>
      </w:r>
      <w:r w:rsidR="002E50FC" w:rsidRPr="00D42BE6">
        <w:rPr>
          <w:rFonts w:ascii="Arial" w:hAnsi="Arial" w:cs="Arial"/>
          <w:noProof w:val="0"/>
          <w:color w:val="1F497D" w:themeColor="text2"/>
          <w:sz w:val="24"/>
          <w:szCs w:val="24"/>
        </w:rPr>
        <w:t>: A framework of accounting standards, rules, and procedures issued by the Government Accounting Standards Board and the Financial Accounting Standards Board</w:t>
      </w:r>
    </w:p>
    <w:p w14:paraId="45C85C35" w14:textId="77777777" w:rsidR="00D42BE6" w:rsidRPr="00D42BE6" w:rsidRDefault="00D42BE6" w:rsidP="00D42BE6">
      <w:pPr>
        <w:pStyle w:val="ListParagraph"/>
        <w:rPr>
          <w:rFonts w:ascii="Arial" w:hAnsi="Arial" w:cs="Arial"/>
          <w:sz w:val="24"/>
          <w:szCs w:val="24"/>
          <w:lang w:val="en"/>
        </w:rPr>
      </w:pPr>
    </w:p>
    <w:p w14:paraId="37770E55" w14:textId="77777777" w:rsidR="00EC5D6B" w:rsidRPr="005552B5" w:rsidRDefault="006C0BDD" w:rsidP="00EC5D6B">
      <w:pPr>
        <w:pStyle w:val="ListParagraph"/>
        <w:numPr>
          <w:ilvl w:val="0"/>
          <w:numId w:val="7"/>
        </w:numPr>
        <w:rPr>
          <w:rStyle w:val="Strong"/>
          <w:rFonts w:ascii="Arial" w:hAnsi="Arial" w:cs="Arial"/>
          <w:b w:val="0"/>
          <w:bCs w:val="0"/>
          <w:sz w:val="24"/>
          <w:szCs w:val="24"/>
          <w:lang w:val="en"/>
        </w:rPr>
      </w:pPr>
      <w:hyperlink r:id="rId9" w:anchor="GrantsManagementOfficer(GMO)" w:history="1">
        <w:r w:rsidR="00EC5D6B" w:rsidRPr="005552B5">
          <w:rPr>
            <w:rStyle w:val="Hyperlink"/>
            <w:rFonts w:ascii="Arial" w:hAnsi="Arial" w:cs="Arial"/>
            <w:b/>
            <w:bCs/>
            <w:color w:val="1F497D" w:themeColor="text2"/>
            <w:sz w:val="24"/>
            <w:szCs w:val="24"/>
            <w:u w:val="none"/>
            <w:lang w:val="en"/>
          </w:rPr>
          <w:t>Grants Management Officer (GMO)</w:t>
        </w:r>
      </w:hyperlink>
      <w:r w:rsidR="00EC5D6B" w:rsidRPr="005552B5">
        <w:rPr>
          <w:rStyle w:val="Strong"/>
          <w:rFonts w:ascii="Arial" w:hAnsi="Arial" w:cs="Arial"/>
          <w:color w:val="1F497D" w:themeColor="text2"/>
          <w:sz w:val="24"/>
          <w:szCs w:val="24"/>
          <w:lang w:val="en"/>
        </w:rPr>
        <w:t xml:space="preserve">: </w:t>
      </w:r>
      <w:r w:rsidR="00EC5D6B" w:rsidRPr="005552B5">
        <w:rPr>
          <w:rFonts w:ascii="Arial" w:hAnsi="Arial" w:cs="Arial"/>
          <w:color w:val="1F497D" w:themeColor="text2"/>
          <w:sz w:val="24"/>
          <w:szCs w:val="24"/>
          <w:lang w:val="en"/>
        </w:rPr>
        <w:t xml:space="preserve">An NIH official responsible for the business management aspects of grants and cooperative agreements, including review, negotiation, award, and administration, and for the interpretation of grants administration policies and provisions. GMOs are delegated the authority from the CGMO to obligate NIH to the expenditure of funds and permit changes to approved projects on behalf of NIH. Each NIH IC that awards grants has one or more GMOs with responsibility for particular programs or awards. See also </w:t>
      </w:r>
      <w:hyperlink r:id="rId10" w:anchor="Chief_Grants_Management_Officer" w:history="1">
        <w:r w:rsidR="00EC5D6B" w:rsidRPr="005552B5">
          <w:rPr>
            <w:rStyle w:val="Hyperlink"/>
            <w:rFonts w:ascii="Arial" w:hAnsi="Arial" w:cs="Arial"/>
            <w:sz w:val="24"/>
            <w:szCs w:val="24"/>
            <w:lang w:val="en"/>
          </w:rPr>
          <w:t>Chief Grants Management Officer</w:t>
        </w:r>
      </w:hyperlink>
      <w:r w:rsidR="00EC5D6B" w:rsidRPr="005552B5">
        <w:rPr>
          <w:rFonts w:ascii="Arial" w:hAnsi="Arial" w:cs="Arial"/>
          <w:sz w:val="24"/>
          <w:szCs w:val="24"/>
          <w:lang w:val="en"/>
        </w:rPr>
        <w:t xml:space="preserve"> </w:t>
      </w:r>
      <w:r w:rsidR="00EC5D6B" w:rsidRPr="005552B5">
        <w:rPr>
          <w:rFonts w:ascii="Arial" w:hAnsi="Arial" w:cs="Arial"/>
          <w:color w:val="1F497D" w:themeColor="text2"/>
          <w:sz w:val="24"/>
          <w:szCs w:val="24"/>
          <w:lang w:val="en"/>
        </w:rPr>
        <w:t>definition</w:t>
      </w:r>
      <w:r w:rsidR="00EC5D6B" w:rsidRPr="005552B5">
        <w:rPr>
          <w:rFonts w:ascii="Arial" w:hAnsi="Arial" w:cs="Arial"/>
          <w:sz w:val="24"/>
          <w:szCs w:val="24"/>
          <w:lang w:val="en"/>
        </w:rPr>
        <w:t>.</w:t>
      </w:r>
      <w:r w:rsidR="00EC5D6B" w:rsidRPr="005552B5">
        <w:rPr>
          <w:rFonts w:ascii="Arial" w:hAnsi="Arial" w:cs="Arial"/>
          <w:sz w:val="24"/>
          <w:szCs w:val="24"/>
          <w:lang w:val="en"/>
        </w:rPr>
        <w:br/>
      </w:r>
      <w:bookmarkStart w:id="1" w:name="G16"/>
      <w:bookmarkStart w:id="2" w:name="GrantsManagementSpecialist(GMS)"/>
      <w:bookmarkEnd w:id="1"/>
      <w:bookmarkEnd w:id="2"/>
    </w:p>
    <w:p w14:paraId="6D6DB5B5" w14:textId="77777777" w:rsidR="00EC5D6B" w:rsidRPr="005552B5" w:rsidRDefault="006C0BDD" w:rsidP="00EC5D6B">
      <w:pPr>
        <w:pStyle w:val="ListParagraph"/>
        <w:numPr>
          <w:ilvl w:val="0"/>
          <w:numId w:val="7"/>
        </w:numPr>
        <w:rPr>
          <w:rFonts w:ascii="Arial" w:hAnsi="Arial" w:cs="Arial"/>
          <w:color w:val="1F497D" w:themeColor="text2"/>
          <w:sz w:val="24"/>
          <w:szCs w:val="24"/>
          <w:lang w:val="en"/>
        </w:rPr>
      </w:pPr>
      <w:hyperlink r:id="rId11" w:anchor="GrantsManagementSpecialist(GMS)" w:history="1">
        <w:r w:rsidR="00EC5D6B" w:rsidRPr="005552B5">
          <w:rPr>
            <w:rStyle w:val="Hyperlink"/>
            <w:rFonts w:ascii="Arial" w:hAnsi="Arial" w:cs="Arial"/>
            <w:b/>
            <w:bCs/>
            <w:color w:val="1F497D" w:themeColor="text2"/>
            <w:sz w:val="24"/>
            <w:szCs w:val="24"/>
            <w:u w:val="none"/>
            <w:lang w:val="en"/>
          </w:rPr>
          <w:t>Grants Management Specialist (GMS)</w:t>
        </w:r>
      </w:hyperlink>
      <w:r w:rsidR="00EC5D6B" w:rsidRPr="005552B5">
        <w:rPr>
          <w:rStyle w:val="Strong"/>
          <w:rFonts w:ascii="Arial" w:hAnsi="Arial" w:cs="Arial"/>
          <w:color w:val="1F497D" w:themeColor="text2"/>
          <w:sz w:val="24"/>
          <w:szCs w:val="24"/>
          <w:lang w:val="en"/>
        </w:rPr>
        <w:t xml:space="preserve">: </w:t>
      </w:r>
      <w:r w:rsidR="00EC5D6B" w:rsidRPr="005552B5">
        <w:rPr>
          <w:rFonts w:ascii="Arial" w:hAnsi="Arial" w:cs="Arial"/>
          <w:color w:val="1F497D" w:themeColor="text2"/>
          <w:sz w:val="24"/>
          <w:szCs w:val="24"/>
          <w:lang w:val="en"/>
        </w:rPr>
        <w:t>A NIH staff member who oversees the business and other non-programmatic aspects of one or more grants and/or cooperative agreements. These activities include, but are not limited to, evaluating grant applications for administrative content and compliance with statutes, regulations, and guidelines; negotiating grants; providing consultation and technical assistance to grantees; and administering grants after award.</w:t>
      </w:r>
    </w:p>
    <w:p w14:paraId="2B7D1A12" w14:textId="77777777" w:rsidR="002E50FC" w:rsidRPr="002E50FC" w:rsidRDefault="002E50FC" w:rsidP="002E50FC">
      <w:pPr>
        <w:pStyle w:val="Informal1"/>
        <w:tabs>
          <w:tab w:val="right" w:pos="5472"/>
        </w:tabs>
        <w:rPr>
          <w:rFonts w:ascii="Arial" w:hAnsi="Arial" w:cs="Arial"/>
          <w:b/>
          <w:color w:val="1F497D" w:themeColor="text2"/>
          <w:sz w:val="24"/>
          <w:szCs w:val="24"/>
        </w:rPr>
      </w:pPr>
    </w:p>
    <w:p w14:paraId="795DEE44" w14:textId="77777777" w:rsidR="00690308" w:rsidRDefault="00690308" w:rsidP="00690308">
      <w:pPr>
        <w:pStyle w:val="Informal1"/>
        <w:numPr>
          <w:ilvl w:val="0"/>
          <w:numId w:val="7"/>
        </w:numPr>
        <w:tabs>
          <w:tab w:val="right" w:pos="5472"/>
        </w:tabs>
        <w:spacing w:before="0" w:after="0"/>
        <w:rPr>
          <w:rFonts w:ascii="Arial" w:hAnsi="Arial" w:cs="Arial"/>
          <w:b/>
          <w:noProof w:val="0"/>
          <w:color w:val="1F497D" w:themeColor="text2"/>
          <w:sz w:val="24"/>
          <w:szCs w:val="24"/>
        </w:rPr>
      </w:pPr>
      <w:r>
        <w:rPr>
          <w:rFonts w:ascii="Arial" w:hAnsi="Arial" w:cs="Arial"/>
          <w:b/>
          <w:noProof w:val="0"/>
          <w:color w:val="1F497D" w:themeColor="text2"/>
          <w:sz w:val="24"/>
          <w:szCs w:val="24"/>
        </w:rPr>
        <w:t xml:space="preserve">Incentive Costs: </w:t>
      </w:r>
      <w:r w:rsidRPr="0057233F">
        <w:rPr>
          <w:rFonts w:ascii="Arial" w:hAnsi="Arial" w:cs="Arial"/>
          <w:noProof w:val="0"/>
          <w:color w:val="1F497D" w:themeColor="text2"/>
          <w:sz w:val="24"/>
          <w:szCs w:val="24"/>
        </w:rPr>
        <w:t>Incentive payments to volunteers or patients participating in a grant-supported project or program are allowable. Incentive payments to individuals to motivate them to take advantage of grant-supported health care or other services are allowable if within the scope of an approved project.</w:t>
      </w:r>
    </w:p>
    <w:p w14:paraId="238A9CB8" w14:textId="77777777" w:rsidR="00690308" w:rsidRPr="0009148C" w:rsidRDefault="00690308" w:rsidP="002211DC">
      <w:pPr>
        <w:pStyle w:val="Informal1"/>
        <w:tabs>
          <w:tab w:val="right" w:pos="5472"/>
        </w:tabs>
        <w:spacing w:before="0" w:after="0"/>
        <w:rPr>
          <w:rFonts w:ascii="Arial" w:hAnsi="Arial" w:cs="Arial"/>
          <w:b/>
          <w:color w:val="1F497D" w:themeColor="text2"/>
          <w:sz w:val="24"/>
          <w:szCs w:val="24"/>
        </w:rPr>
      </w:pPr>
    </w:p>
    <w:p w14:paraId="17AAF59E" w14:textId="77777777" w:rsidR="00690308" w:rsidRPr="00341D8A" w:rsidRDefault="00690308" w:rsidP="00690308">
      <w:pPr>
        <w:pStyle w:val="Informal1"/>
        <w:numPr>
          <w:ilvl w:val="0"/>
          <w:numId w:val="7"/>
        </w:numPr>
        <w:tabs>
          <w:tab w:val="right" w:pos="5472"/>
        </w:tabs>
        <w:spacing w:before="0" w:after="0"/>
        <w:rPr>
          <w:rFonts w:ascii="Arial" w:hAnsi="Arial" w:cs="Arial"/>
          <w:noProof w:val="0"/>
          <w:color w:val="1F497D" w:themeColor="text2"/>
          <w:sz w:val="24"/>
          <w:szCs w:val="24"/>
        </w:rPr>
      </w:pPr>
      <w:r>
        <w:rPr>
          <w:rFonts w:ascii="Arial" w:hAnsi="Arial" w:cs="Arial"/>
          <w:b/>
          <w:noProof w:val="0"/>
          <w:color w:val="1F497D" w:themeColor="text2"/>
          <w:sz w:val="24"/>
          <w:szCs w:val="24"/>
        </w:rPr>
        <w:t xml:space="preserve">Indirect Revenue: </w:t>
      </w:r>
      <w:r>
        <w:rPr>
          <w:rFonts w:ascii="Arial" w:hAnsi="Arial" w:cs="Arial"/>
          <w:noProof w:val="0"/>
          <w:color w:val="1F497D" w:themeColor="text2"/>
          <w:sz w:val="24"/>
          <w:szCs w:val="24"/>
        </w:rPr>
        <w:t>Indirect revenue is how we are reimbursed for indirect expenses.</w:t>
      </w:r>
    </w:p>
    <w:p w14:paraId="149D7FC6" w14:textId="77777777" w:rsidR="00690308" w:rsidRDefault="00690308" w:rsidP="002211DC">
      <w:pPr>
        <w:pStyle w:val="Informal1"/>
        <w:tabs>
          <w:tab w:val="right" w:pos="5472"/>
        </w:tabs>
        <w:spacing w:before="0" w:after="0"/>
        <w:rPr>
          <w:rFonts w:ascii="Arial" w:hAnsi="Arial" w:cs="Arial"/>
          <w:noProof w:val="0"/>
          <w:color w:val="1F497D" w:themeColor="text2"/>
          <w:sz w:val="24"/>
          <w:szCs w:val="24"/>
        </w:rPr>
      </w:pPr>
    </w:p>
    <w:p w14:paraId="793B8C71" w14:textId="77777777" w:rsidR="00690308" w:rsidRDefault="00690308" w:rsidP="00690308">
      <w:pPr>
        <w:pStyle w:val="Informal1"/>
        <w:numPr>
          <w:ilvl w:val="0"/>
          <w:numId w:val="7"/>
        </w:numPr>
        <w:tabs>
          <w:tab w:val="right" w:pos="5472"/>
        </w:tabs>
        <w:spacing w:before="0" w:after="0"/>
        <w:rPr>
          <w:rFonts w:ascii="Arial" w:hAnsi="Arial" w:cs="Arial"/>
          <w:b/>
          <w:noProof w:val="0"/>
          <w:color w:val="1F497D" w:themeColor="text2"/>
          <w:sz w:val="24"/>
          <w:szCs w:val="24"/>
        </w:rPr>
      </w:pPr>
      <w:r>
        <w:rPr>
          <w:rFonts w:ascii="Arial" w:hAnsi="Arial" w:cs="Arial"/>
          <w:b/>
          <w:noProof w:val="0"/>
          <w:color w:val="1F497D" w:themeColor="text2"/>
          <w:sz w:val="24"/>
          <w:szCs w:val="24"/>
        </w:rPr>
        <w:t xml:space="preserve">Internal Foundations: </w:t>
      </w:r>
      <w:r w:rsidRPr="00D142E2">
        <w:rPr>
          <w:rFonts w:ascii="Arial" w:hAnsi="Arial" w:cs="Arial"/>
          <w:noProof w:val="0"/>
          <w:color w:val="1F497D" w:themeColor="text2"/>
          <w:sz w:val="24"/>
          <w:szCs w:val="24"/>
        </w:rPr>
        <w:t>Providence</w:t>
      </w:r>
      <w:r>
        <w:rPr>
          <w:rFonts w:ascii="Arial" w:hAnsi="Arial" w:cs="Arial"/>
          <w:noProof w:val="0"/>
          <w:color w:val="1F497D" w:themeColor="text2"/>
          <w:sz w:val="24"/>
          <w:szCs w:val="24"/>
        </w:rPr>
        <w:t xml:space="preserve"> Philanthropy (our Foundations)</w:t>
      </w:r>
      <w:r w:rsidRPr="00D142E2">
        <w:rPr>
          <w:rFonts w:ascii="Arial" w:hAnsi="Arial" w:cs="Arial"/>
          <w:noProof w:val="0"/>
          <w:color w:val="1F497D" w:themeColor="text2"/>
          <w:sz w:val="24"/>
          <w:szCs w:val="24"/>
        </w:rPr>
        <w:t xml:space="preserve"> transforms health and wellness care through a system-wide strategic framework carried out by inspired foundation professionals, leaders, physicians, caregivers and board members. Providence Philanthropy’s structure transcends geography, optimizes local relationships, and advances the health of individuals and the community.  </w:t>
      </w:r>
      <w:r>
        <w:rPr>
          <w:rFonts w:ascii="Arial" w:hAnsi="Arial" w:cs="Arial"/>
          <w:noProof w:val="0"/>
          <w:color w:val="1F497D" w:themeColor="text2"/>
          <w:sz w:val="24"/>
          <w:szCs w:val="24"/>
        </w:rPr>
        <w:t xml:space="preserve">Foundation funded research is generally funded on a cost reimbursable basis either through a draw down monthly, annually or at the completion of the project. </w:t>
      </w:r>
      <w:r>
        <w:rPr>
          <w:rFonts w:ascii="Arial" w:hAnsi="Arial" w:cs="Arial"/>
          <w:noProof w:val="0"/>
          <w:color w:val="1F497D" w:themeColor="text2"/>
          <w:sz w:val="24"/>
          <w:szCs w:val="24"/>
        </w:rPr>
        <w:lastRenderedPageBreak/>
        <w:t>Monies may be either pulled from unrestricted or restricted pools and depending on the restrictions of the donor have F&amp;A applied to their use.</w:t>
      </w:r>
    </w:p>
    <w:p w14:paraId="7C87D01F" w14:textId="77777777" w:rsidR="00F67320" w:rsidRPr="002211DC" w:rsidRDefault="00F67320" w:rsidP="00F67320">
      <w:pPr>
        <w:pStyle w:val="Informal1"/>
        <w:tabs>
          <w:tab w:val="right" w:pos="5472"/>
        </w:tabs>
        <w:spacing w:before="0" w:after="0"/>
        <w:rPr>
          <w:rFonts w:ascii="Arial" w:hAnsi="Arial"/>
          <w:color w:val="1F497D" w:themeColor="text2"/>
          <w:sz w:val="24"/>
        </w:rPr>
      </w:pPr>
    </w:p>
    <w:p w14:paraId="014825E2" w14:textId="77777777" w:rsidR="00F67320" w:rsidRPr="002671C4" w:rsidRDefault="00F67320" w:rsidP="00F67320">
      <w:pPr>
        <w:pStyle w:val="Informal1"/>
        <w:numPr>
          <w:ilvl w:val="0"/>
          <w:numId w:val="7"/>
        </w:numPr>
        <w:tabs>
          <w:tab w:val="right" w:pos="5472"/>
        </w:tabs>
        <w:spacing w:before="0" w:after="0"/>
        <w:rPr>
          <w:rFonts w:ascii="Arial" w:hAnsi="Arial" w:cs="Arial"/>
          <w:b/>
          <w:color w:val="1F497D" w:themeColor="text2"/>
          <w:sz w:val="24"/>
          <w:szCs w:val="24"/>
        </w:rPr>
      </w:pPr>
      <w:r w:rsidRPr="0009148C">
        <w:rPr>
          <w:rFonts w:ascii="Arial" w:hAnsi="Arial" w:cs="Arial"/>
          <w:b/>
          <w:noProof w:val="0"/>
          <w:color w:val="1F497D" w:themeColor="text2"/>
          <w:sz w:val="24"/>
          <w:szCs w:val="24"/>
        </w:rPr>
        <w:t>Life-to-date</w:t>
      </w:r>
      <w:r>
        <w:rPr>
          <w:rFonts w:ascii="Arial" w:hAnsi="Arial" w:cs="Arial"/>
          <w:b/>
          <w:noProof w:val="0"/>
          <w:color w:val="1F497D" w:themeColor="text2"/>
          <w:sz w:val="24"/>
          <w:szCs w:val="24"/>
        </w:rPr>
        <w:t xml:space="preserve"> (LTD)</w:t>
      </w:r>
      <w:r w:rsidRPr="0009148C">
        <w:rPr>
          <w:rFonts w:ascii="Arial" w:hAnsi="Arial" w:cs="Arial"/>
          <w:b/>
          <w:noProof w:val="0"/>
          <w:color w:val="1F497D" w:themeColor="text2"/>
          <w:sz w:val="24"/>
          <w:szCs w:val="24"/>
        </w:rPr>
        <w:t>:</w:t>
      </w:r>
      <w:r w:rsidRPr="0009148C">
        <w:rPr>
          <w:rFonts w:ascii="Arial" w:hAnsi="Arial" w:cs="Arial"/>
          <w:noProof w:val="0"/>
          <w:color w:val="1F497D" w:themeColor="text2"/>
          <w:sz w:val="24"/>
          <w:szCs w:val="24"/>
        </w:rPr>
        <w:t xml:space="preserve"> </w:t>
      </w:r>
      <w:r>
        <w:rPr>
          <w:rFonts w:ascii="Arial" w:hAnsi="Arial" w:cs="Arial"/>
          <w:color w:val="1F497D" w:themeColor="text2"/>
          <w:sz w:val="24"/>
          <w:szCs w:val="24"/>
        </w:rPr>
        <w:t>Due to irregular start and end dates and award periods greater than 1 year LTD reporting is the preferred method for analyzing grant financial data.</w:t>
      </w:r>
    </w:p>
    <w:p w14:paraId="47E202E0" w14:textId="77777777" w:rsidR="002671C4" w:rsidRDefault="002671C4" w:rsidP="002671C4">
      <w:pPr>
        <w:pStyle w:val="ListParagraph"/>
        <w:rPr>
          <w:rFonts w:ascii="Arial" w:hAnsi="Arial" w:cs="Arial"/>
          <w:b/>
          <w:color w:val="1F497D" w:themeColor="text2"/>
          <w:sz w:val="24"/>
          <w:szCs w:val="24"/>
        </w:rPr>
      </w:pPr>
    </w:p>
    <w:p w14:paraId="449538EC" w14:textId="4C3439B3" w:rsidR="002671C4" w:rsidRPr="006370CF" w:rsidRDefault="002671C4" w:rsidP="002671C4">
      <w:pPr>
        <w:pStyle w:val="Informal1"/>
        <w:numPr>
          <w:ilvl w:val="0"/>
          <w:numId w:val="7"/>
        </w:numPr>
        <w:tabs>
          <w:tab w:val="right" w:pos="5472"/>
        </w:tabs>
        <w:rPr>
          <w:rFonts w:ascii="Arial" w:hAnsi="Arial"/>
          <w:b/>
          <w:color w:val="1F497D" w:themeColor="text2"/>
          <w:sz w:val="24"/>
        </w:rPr>
      </w:pPr>
      <w:r w:rsidRPr="006370CF">
        <w:rPr>
          <w:rFonts w:ascii="Arial" w:hAnsi="Arial" w:cs="Arial"/>
          <w:b/>
          <w:noProof w:val="0"/>
          <w:color w:val="1F497D" w:themeColor="text2"/>
          <w:sz w:val="24"/>
          <w:szCs w:val="24"/>
        </w:rPr>
        <w:t>Mod</w:t>
      </w:r>
      <w:r w:rsidR="006370CF" w:rsidRPr="006370CF">
        <w:rPr>
          <w:rFonts w:ascii="Arial" w:hAnsi="Arial" w:cs="Arial"/>
          <w:b/>
          <w:noProof w:val="0"/>
          <w:color w:val="1F497D" w:themeColor="text2"/>
          <w:sz w:val="24"/>
          <w:szCs w:val="24"/>
        </w:rPr>
        <w:t>ified Total Direct Costs (MTDC)</w:t>
      </w:r>
      <w:r w:rsidRPr="006370CF">
        <w:rPr>
          <w:rFonts w:ascii="Arial" w:hAnsi="Arial" w:cs="Arial"/>
          <w:noProof w:val="0"/>
          <w:color w:val="1F497D" w:themeColor="text2"/>
          <w:sz w:val="24"/>
          <w:szCs w:val="24"/>
        </w:rPr>
        <w:t>: MTDC includes</w:t>
      </w:r>
      <w:r w:rsidRPr="006370CF">
        <w:rPr>
          <w:rFonts w:ascii="Arial" w:hAnsi="Arial"/>
          <w:color w:val="1F497D" w:themeColor="text2"/>
          <w:sz w:val="24"/>
        </w:rPr>
        <w:t xml:space="preserve"> all direct salaries and wages, applicable fringe benefits, materials and supplies, services, travel, and up to the first $25,000 of each subaward (regardless of the period of performance of the subawards under the award). MTDC excludes equipment, capital expenditures, charges for patient care, rental costs, tuition remission, scholarships and fellowships, participant support costs and the portion of each subaward in excess of $25,000. Other items may only be excluded when necessary to avoid a serious inequity in the distribution of indirect costs, and with the approval of the cognizant agency for indirect costs.</w:t>
      </w:r>
    </w:p>
    <w:p w14:paraId="10EE21D4" w14:textId="77777777" w:rsidR="00516604" w:rsidRPr="00516604" w:rsidRDefault="00516604" w:rsidP="00516604">
      <w:pPr>
        <w:pStyle w:val="ListParagraph"/>
        <w:rPr>
          <w:rFonts w:ascii="Arial" w:hAnsi="Arial" w:cs="Arial"/>
          <w:color w:val="1F497D" w:themeColor="text2"/>
          <w:sz w:val="24"/>
          <w:szCs w:val="24"/>
          <w:lang w:val="en"/>
        </w:rPr>
      </w:pPr>
    </w:p>
    <w:p w14:paraId="7F6CDC30" w14:textId="5EE4F73F" w:rsidR="00EC5D6B" w:rsidRPr="00A411B1" w:rsidRDefault="006C0BDD" w:rsidP="00EC5D6B">
      <w:pPr>
        <w:pStyle w:val="ListParagraph"/>
        <w:numPr>
          <w:ilvl w:val="0"/>
          <w:numId w:val="7"/>
        </w:numPr>
        <w:rPr>
          <w:rFonts w:ascii="Arial" w:hAnsi="Arial" w:cs="Arial"/>
          <w:color w:val="1F497D" w:themeColor="text2"/>
          <w:sz w:val="24"/>
          <w:szCs w:val="24"/>
          <w:lang w:val="en"/>
        </w:rPr>
      </w:pPr>
      <w:hyperlink r:id="rId12" w:anchor="Multi-YearFunding(MYF)" w:history="1">
        <w:r w:rsidR="00EC5D6B" w:rsidRPr="00A411B1">
          <w:rPr>
            <w:rStyle w:val="Hyperlink"/>
            <w:rFonts w:ascii="Arial" w:hAnsi="Arial" w:cs="Arial"/>
            <w:b/>
            <w:bCs/>
            <w:color w:val="1F497D" w:themeColor="text2"/>
            <w:sz w:val="24"/>
            <w:szCs w:val="24"/>
            <w:u w:val="none"/>
            <w:lang w:val="en"/>
          </w:rPr>
          <w:t>Multi-Year Funding (MYF)</w:t>
        </w:r>
      </w:hyperlink>
      <w:r w:rsidR="00EC5D6B">
        <w:rPr>
          <w:rStyle w:val="Strong"/>
          <w:rFonts w:ascii="Arial" w:hAnsi="Arial" w:cs="Arial"/>
          <w:color w:val="1F497D" w:themeColor="text2"/>
          <w:sz w:val="24"/>
          <w:szCs w:val="24"/>
          <w:lang w:val="en"/>
        </w:rPr>
        <w:t xml:space="preserve">: </w:t>
      </w:r>
      <w:r w:rsidR="00EC5D6B" w:rsidRPr="00A411B1">
        <w:rPr>
          <w:rFonts w:ascii="Arial" w:hAnsi="Arial" w:cs="Arial"/>
          <w:color w:val="1F497D" w:themeColor="text2"/>
          <w:sz w:val="24"/>
          <w:szCs w:val="24"/>
          <w:lang w:val="en"/>
        </w:rPr>
        <w:t>Multi-year funded (MYF) awards are where the project period and budget period are the same and are longer than one year. A no-cost extension of an existing grant does not constitute Multi-Year Funding.</w:t>
      </w:r>
    </w:p>
    <w:p w14:paraId="0904FF59" w14:textId="77777777" w:rsidR="00EC5D6B" w:rsidRPr="00EC5D6B" w:rsidRDefault="00EC5D6B" w:rsidP="00EC5D6B">
      <w:pPr>
        <w:pStyle w:val="ListParagraph"/>
        <w:rPr>
          <w:rStyle w:val="Strong"/>
          <w:rFonts w:ascii="Arial" w:hAnsi="Arial" w:cs="Arial"/>
          <w:b w:val="0"/>
          <w:bCs w:val="0"/>
          <w:color w:val="1F497D" w:themeColor="text2"/>
          <w:sz w:val="24"/>
          <w:szCs w:val="24"/>
          <w:lang w:val="en"/>
        </w:rPr>
      </w:pPr>
      <w:bookmarkStart w:id="3" w:name="M17"/>
      <w:bookmarkStart w:id="4" w:name="MultipleProgramDirector/PrincipalInvesti"/>
      <w:bookmarkEnd w:id="3"/>
      <w:bookmarkEnd w:id="4"/>
    </w:p>
    <w:p w14:paraId="0E481D6B" w14:textId="77777777" w:rsidR="00EC5D6B" w:rsidRDefault="006C0BDD" w:rsidP="00EC5D6B">
      <w:pPr>
        <w:pStyle w:val="ListParagraph"/>
        <w:numPr>
          <w:ilvl w:val="0"/>
          <w:numId w:val="7"/>
        </w:numPr>
        <w:rPr>
          <w:rFonts w:ascii="Arial" w:hAnsi="Arial" w:cs="Arial"/>
          <w:color w:val="1F497D" w:themeColor="text2"/>
          <w:sz w:val="24"/>
          <w:szCs w:val="24"/>
          <w:lang w:val="en"/>
        </w:rPr>
      </w:pPr>
      <w:hyperlink r:id="rId13" w:anchor="MultipleProgramDirector/PrincipalInvestigator" w:history="1">
        <w:r w:rsidR="00EC5D6B" w:rsidRPr="00A411B1">
          <w:rPr>
            <w:rStyle w:val="Hyperlink"/>
            <w:rFonts w:ascii="Arial" w:hAnsi="Arial" w:cs="Arial"/>
            <w:b/>
            <w:bCs/>
            <w:color w:val="1F497D" w:themeColor="text2"/>
            <w:sz w:val="24"/>
            <w:szCs w:val="24"/>
            <w:u w:val="none"/>
            <w:lang w:val="en"/>
          </w:rPr>
          <w:t>Multiple Program Director/Principal Investigator</w:t>
        </w:r>
      </w:hyperlink>
      <w:r w:rsidR="00EC5D6B">
        <w:rPr>
          <w:rStyle w:val="Strong"/>
          <w:rFonts w:ascii="Arial" w:hAnsi="Arial" w:cs="Arial"/>
          <w:color w:val="1F497D" w:themeColor="text2"/>
          <w:sz w:val="24"/>
          <w:szCs w:val="24"/>
          <w:lang w:val="en"/>
        </w:rPr>
        <w:t xml:space="preserve">: </w:t>
      </w:r>
      <w:r w:rsidR="00EC5D6B" w:rsidRPr="00A411B1">
        <w:rPr>
          <w:rFonts w:ascii="Arial" w:hAnsi="Arial" w:cs="Arial"/>
          <w:color w:val="1F497D" w:themeColor="text2"/>
          <w:sz w:val="24"/>
          <w:szCs w:val="24"/>
          <w:lang w:val="en"/>
        </w:rPr>
        <w:t xml:space="preserve">Multiple Program Director/Principal Investigator (multiple PD/PI) awards are an opportunity for multidisciplinary efforts and collaboration through a team of scientists under a single grant award. All PD/PIs share equally the authority and responsibility for leading and directing the project, intellectually and logistically. Each PD/PI is responsible and accountable to the applicant organization, or as appropriate to a collaborating organization, for the proper conduct of the project or program, including the submission of all required reports. The presence of more than one PD/PI on an application or award diminishes neither the responsibility nor the accountability of any individual PD/PI. Go to </w:t>
      </w:r>
      <w:hyperlink r:id="rId14" w:history="1">
        <w:r w:rsidR="00EC5D6B" w:rsidRPr="00A411B1">
          <w:rPr>
            <w:rStyle w:val="Hyperlink"/>
            <w:rFonts w:ascii="Arial" w:hAnsi="Arial" w:cs="Arial"/>
            <w:color w:val="1F497D" w:themeColor="text2"/>
            <w:sz w:val="24"/>
            <w:szCs w:val="24"/>
            <w:u w:val="none"/>
            <w:lang w:val="en"/>
          </w:rPr>
          <w:t>Multiple Principal Investigators</w:t>
        </w:r>
      </w:hyperlink>
      <w:r w:rsidR="00EC5D6B" w:rsidRPr="00A411B1">
        <w:rPr>
          <w:rFonts w:ascii="Arial" w:hAnsi="Arial" w:cs="Arial"/>
          <w:color w:val="1F497D" w:themeColor="text2"/>
          <w:sz w:val="24"/>
          <w:szCs w:val="24"/>
          <w:lang w:val="en"/>
        </w:rPr>
        <w:t>.</w:t>
      </w:r>
    </w:p>
    <w:p w14:paraId="50DEA8F7" w14:textId="77777777" w:rsidR="00EC5D6B" w:rsidRPr="00A411B1" w:rsidRDefault="00EC5D6B" w:rsidP="00EC5D6B">
      <w:pPr>
        <w:pStyle w:val="ListParagraph"/>
        <w:rPr>
          <w:rFonts w:ascii="Arial" w:hAnsi="Arial" w:cs="Arial"/>
          <w:color w:val="1F497D" w:themeColor="text2"/>
          <w:sz w:val="24"/>
          <w:szCs w:val="24"/>
          <w:lang w:val="en"/>
        </w:rPr>
      </w:pPr>
    </w:p>
    <w:p w14:paraId="7F9D4EA2" w14:textId="77777777" w:rsidR="00EC5D6B" w:rsidRDefault="006C0BDD" w:rsidP="00EC5D6B">
      <w:pPr>
        <w:pStyle w:val="ListParagraph"/>
        <w:numPr>
          <w:ilvl w:val="0"/>
          <w:numId w:val="7"/>
        </w:numPr>
        <w:rPr>
          <w:rFonts w:ascii="Arial" w:hAnsi="Arial" w:cs="Arial"/>
          <w:color w:val="1F497D" w:themeColor="text2"/>
          <w:sz w:val="24"/>
          <w:szCs w:val="24"/>
          <w:lang w:val="en"/>
        </w:rPr>
      </w:pPr>
      <w:hyperlink r:id="rId15" w:anchor="No-CostExtension" w:history="1">
        <w:r w:rsidR="00EC5D6B" w:rsidRPr="00F76390">
          <w:rPr>
            <w:rStyle w:val="Hyperlink"/>
            <w:rFonts w:ascii="Arial" w:hAnsi="Arial" w:cs="Arial"/>
            <w:b/>
            <w:bCs/>
            <w:color w:val="1F497D" w:themeColor="text2"/>
            <w:sz w:val="24"/>
            <w:szCs w:val="24"/>
            <w:u w:val="none"/>
            <w:lang w:val="en"/>
          </w:rPr>
          <w:t>No-Cost Extension</w:t>
        </w:r>
      </w:hyperlink>
      <w:r w:rsidR="00EC5D6B" w:rsidRPr="00F76390">
        <w:rPr>
          <w:rStyle w:val="Strong"/>
          <w:rFonts w:ascii="Arial" w:hAnsi="Arial" w:cs="Arial"/>
          <w:color w:val="1F497D" w:themeColor="text2"/>
          <w:sz w:val="24"/>
          <w:szCs w:val="24"/>
          <w:lang w:val="en"/>
        </w:rPr>
        <w:t xml:space="preserve">: </w:t>
      </w:r>
      <w:r w:rsidR="00EC5D6B" w:rsidRPr="00F76390">
        <w:rPr>
          <w:rFonts w:ascii="Arial" w:hAnsi="Arial" w:cs="Arial"/>
          <w:color w:val="1F497D" w:themeColor="text2"/>
          <w:sz w:val="24"/>
          <w:szCs w:val="24"/>
          <w:lang w:val="en"/>
        </w:rPr>
        <w:t xml:space="preserve">An extension of time to a project period and/or budget period to complete the work of the grant under that period, without additional Federal funds or competition. See </w:t>
      </w:r>
      <w:hyperlink r:id="rId16" w:anchor="NIH" w:history="1">
        <w:r w:rsidR="00EC5D6B" w:rsidRPr="00F76390">
          <w:rPr>
            <w:rStyle w:val="Hyperlink"/>
            <w:rFonts w:ascii="Arial" w:hAnsi="Arial" w:cs="Arial"/>
            <w:color w:val="1F497D" w:themeColor="text2"/>
            <w:sz w:val="24"/>
            <w:szCs w:val="24"/>
            <w:u w:val="none"/>
            <w:lang w:val="en"/>
          </w:rPr>
          <w:t>NIH Standard Terms of Award</w:t>
        </w:r>
      </w:hyperlink>
      <w:r w:rsidR="00EC5D6B" w:rsidRPr="00F76390">
        <w:rPr>
          <w:rFonts w:ascii="Arial" w:hAnsi="Arial" w:cs="Arial"/>
          <w:color w:val="1F497D" w:themeColor="text2"/>
          <w:sz w:val="24"/>
          <w:szCs w:val="24"/>
          <w:lang w:val="en"/>
        </w:rPr>
        <w:t xml:space="preserve"> and </w:t>
      </w:r>
      <w:hyperlink r:id="rId17" w:anchor="Prior" w:history="1">
        <w:r w:rsidR="00EC5D6B" w:rsidRPr="00F76390">
          <w:rPr>
            <w:rStyle w:val="Hyperlink"/>
            <w:rFonts w:ascii="Arial" w:hAnsi="Arial" w:cs="Arial"/>
            <w:color w:val="1F497D" w:themeColor="text2"/>
            <w:sz w:val="24"/>
            <w:szCs w:val="24"/>
            <w:u w:val="none"/>
            <w:lang w:val="en"/>
          </w:rPr>
          <w:t>Prior Approval Requirements</w:t>
        </w:r>
      </w:hyperlink>
      <w:r w:rsidR="00EC5D6B" w:rsidRPr="00F76390">
        <w:rPr>
          <w:rFonts w:ascii="Arial" w:hAnsi="Arial" w:cs="Arial"/>
          <w:color w:val="1F497D" w:themeColor="text2"/>
          <w:sz w:val="24"/>
          <w:szCs w:val="24"/>
          <w:lang w:val="en"/>
        </w:rPr>
        <w:t>.</w:t>
      </w:r>
    </w:p>
    <w:p w14:paraId="4E532101" w14:textId="77777777" w:rsidR="00D42BE6" w:rsidRPr="00D42BE6" w:rsidRDefault="00D42BE6" w:rsidP="00D42BE6">
      <w:pPr>
        <w:pStyle w:val="ListParagraph"/>
        <w:rPr>
          <w:rFonts w:ascii="Arial" w:hAnsi="Arial" w:cs="Arial"/>
          <w:color w:val="1F497D" w:themeColor="text2"/>
          <w:sz w:val="24"/>
          <w:szCs w:val="24"/>
          <w:lang w:val="en"/>
        </w:rPr>
      </w:pPr>
    </w:p>
    <w:p w14:paraId="7CAB2FBB" w14:textId="77777777" w:rsidR="00D42BE6" w:rsidRPr="00F76390" w:rsidRDefault="00D42BE6" w:rsidP="00D42BE6">
      <w:pPr>
        <w:pStyle w:val="ListParagraph"/>
        <w:rPr>
          <w:rFonts w:ascii="Arial" w:hAnsi="Arial" w:cs="Arial"/>
          <w:color w:val="1F497D" w:themeColor="text2"/>
          <w:sz w:val="24"/>
          <w:szCs w:val="24"/>
          <w:lang w:val="en"/>
        </w:rPr>
      </w:pPr>
    </w:p>
    <w:p w14:paraId="62201BB3" w14:textId="77777777" w:rsidR="00EC5D6B" w:rsidRPr="00F76390" w:rsidRDefault="006C0BDD" w:rsidP="00EC5D6B">
      <w:pPr>
        <w:pStyle w:val="ListParagraph"/>
        <w:numPr>
          <w:ilvl w:val="0"/>
          <w:numId w:val="7"/>
        </w:numPr>
        <w:rPr>
          <w:rFonts w:ascii="Arial" w:hAnsi="Arial" w:cs="Arial"/>
          <w:color w:val="1F497D" w:themeColor="text2"/>
          <w:sz w:val="24"/>
          <w:szCs w:val="24"/>
          <w:lang w:val="en"/>
        </w:rPr>
      </w:pPr>
      <w:hyperlink r:id="rId18" w:anchor="NoticeofAward(NoA)" w:history="1">
        <w:r w:rsidR="00EC5D6B" w:rsidRPr="00F76390">
          <w:rPr>
            <w:rStyle w:val="Hyperlink"/>
            <w:rFonts w:ascii="Arial" w:hAnsi="Arial" w:cs="Arial"/>
            <w:b/>
            <w:bCs/>
            <w:color w:val="1F497D" w:themeColor="text2"/>
            <w:sz w:val="24"/>
            <w:szCs w:val="24"/>
            <w:u w:val="none"/>
            <w:lang w:val="en"/>
          </w:rPr>
          <w:t>Notice of Award (NoA)</w:t>
        </w:r>
      </w:hyperlink>
      <w:r w:rsidR="00EC5D6B">
        <w:rPr>
          <w:rStyle w:val="Strong"/>
          <w:rFonts w:ascii="Arial" w:hAnsi="Arial" w:cs="Arial"/>
          <w:color w:val="1F497D" w:themeColor="text2"/>
          <w:sz w:val="24"/>
          <w:szCs w:val="24"/>
          <w:lang w:val="en"/>
        </w:rPr>
        <w:t xml:space="preserve">: </w:t>
      </w:r>
      <w:r w:rsidR="00EC5D6B" w:rsidRPr="00F76390">
        <w:rPr>
          <w:rFonts w:ascii="Arial" w:hAnsi="Arial" w:cs="Arial"/>
          <w:color w:val="1F497D" w:themeColor="text2"/>
          <w:sz w:val="24"/>
          <w:szCs w:val="24"/>
          <w:lang w:val="en"/>
        </w:rPr>
        <w:t>The official, legally binding document, signed (or the electronic equivalent of signature) by a Grants Management Officer that:</w:t>
      </w:r>
    </w:p>
    <w:p w14:paraId="04D3951F" w14:textId="77777777" w:rsidR="00EC5D6B" w:rsidRPr="00F76390" w:rsidRDefault="00EC5D6B" w:rsidP="00EC5D6B">
      <w:pPr>
        <w:numPr>
          <w:ilvl w:val="0"/>
          <w:numId w:val="9"/>
        </w:numPr>
        <w:tabs>
          <w:tab w:val="clear" w:pos="1935"/>
          <w:tab w:val="num" w:pos="1620"/>
        </w:tabs>
        <w:spacing w:before="100" w:beforeAutospacing="1" w:after="100" w:afterAutospacing="1"/>
        <w:ind w:left="1620" w:right="75" w:hanging="270"/>
        <w:rPr>
          <w:rFonts w:ascii="Arial" w:hAnsi="Arial" w:cs="Arial"/>
          <w:color w:val="1F497D" w:themeColor="text2"/>
          <w:sz w:val="24"/>
          <w:szCs w:val="24"/>
          <w:lang w:val="en"/>
        </w:rPr>
      </w:pPr>
      <w:r w:rsidRPr="00F76390">
        <w:rPr>
          <w:rFonts w:ascii="Arial" w:hAnsi="Arial" w:cs="Arial"/>
          <w:color w:val="1F497D" w:themeColor="text2"/>
          <w:sz w:val="24"/>
          <w:szCs w:val="24"/>
          <w:lang w:val="en"/>
        </w:rPr>
        <w:t>notifies the recipient of the award of a grant;</w:t>
      </w:r>
    </w:p>
    <w:p w14:paraId="440C79BD" w14:textId="77777777" w:rsidR="00EC5D6B" w:rsidRPr="00F76390" w:rsidRDefault="00EC5D6B" w:rsidP="00EC5D6B">
      <w:pPr>
        <w:numPr>
          <w:ilvl w:val="0"/>
          <w:numId w:val="9"/>
        </w:numPr>
        <w:tabs>
          <w:tab w:val="clear" w:pos="1935"/>
          <w:tab w:val="num" w:pos="1620"/>
        </w:tabs>
        <w:spacing w:before="100" w:beforeAutospacing="1" w:after="100" w:afterAutospacing="1"/>
        <w:ind w:left="1620" w:right="75" w:hanging="270"/>
        <w:rPr>
          <w:rFonts w:ascii="Arial" w:hAnsi="Arial" w:cs="Arial"/>
          <w:color w:val="1F497D" w:themeColor="text2"/>
          <w:sz w:val="24"/>
          <w:szCs w:val="24"/>
          <w:lang w:val="en"/>
        </w:rPr>
      </w:pPr>
      <w:r w:rsidRPr="00F76390">
        <w:rPr>
          <w:rFonts w:ascii="Arial" w:hAnsi="Arial" w:cs="Arial"/>
          <w:color w:val="1F497D" w:themeColor="text2"/>
          <w:sz w:val="24"/>
          <w:szCs w:val="24"/>
          <w:lang w:val="en"/>
        </w:rPr>
        <w:t>contains or references all the terms a</w:t>
      </w:r>
      <w:r>
        <w:rPr>
          <w:rFonts w:ascii="Arial" w:hAnsi="Arial" w:cs="Arial"/>
          <w:color w:val="1F497D" w:themeColor="text2"/>
          <w:sz w:val="24"/>
          <w:szCs w:val="24"/>
          <w:lang w:val="en"/>
        </w:rPr>
        <w:t>nd conditions of the grant and f</w:t>
      </w:r>
      <w:r w:rsidRPr="00F76390">
        <w:rPr>
          <w:rFonts w:ascii="Arial" w:hAnsi="Arial" w:cs="Arial"/>
          <w:color w:val="1F497D" w:themeColor="text2"/>
          <w:sz w:val="24"/>
          <w:szCs w:val="24"/>
          <w:lang w:val="en"/>
        </w:rPr>
        <w:t>ederal funding limits and obligations; and,</w:t>
      </w:r>
    </w:p>
    <w:p w14:paraId="2DA71955" w14:textId="77777777" w:rsidR="00EC5D6B" w:rsidRPr="00F76390" w:rsidRDefault="00EC5D6B" w:rsidP="00EC5D6B">
      <w:pPr>
        <w:numPr>
          <w:ilvl w:val="0"/>
          <w:numId w:val="9"/>
        </w:numPr>
        <w:tabs>
          <w:tab w:val="clear" w:pos="1935"/>
          <w:tab w:val="num" w:pos="1620"/>
        </w:tabs>
        <w:spacing w:before="100" w:beforeAutospacing="1" w:after="100" w:afterAutospacing="1"/>
        <w:ind w:left="1620" w:right="75" w:hanging="270"/>
        <w:rPr>
          <w:rFonts w:ascii="Arial" w:hAnsi="Arial" w:cs="Arial"/>
          <w:color w:val="1F497D" w:themeColor="text2"/>
          <w:sz w:val="24"/>
          <w:szCs w:val="24"/>
          <w:lang w:val="en"/>
        </w:rPr>
      </w:pPr>
      <w:r w:rsidRPr="00F76390">
        <w:rPr>
          <w:rFonts w:ascii="Arial" w:hAnsi="Arial" w:cs="Arial"/>
          <w:color w:val="1F497D" w:themeColor="text2"/>
          <w:sz w:val="24"/>
          <w:szCs w:val="24"/>
          <w:lang w:val="en"/>
        </w:rPr>
        <w:t>provides the documentary basis for recording the obligation of Federal funds in the NIH accounting system.</w:t>
      </w:r>
    </w:p>
    <w:p w14:paraId="2BB58A1B" w14:textId="77777777" w:rsidR="00F67320" w:rsidRDefault="00F67320" w:rsidP="00F67320">
      <w:pPr>
        <w:pStyle w:val="Informal1"/>
        <w:tabs>
          <w:tab w:val="right" w:pos="5472"/>
        </w:tabs>
        <w:spacing w:before="0" w:after="0"/>
        <w:rPr>
          <w:rFonts w:ascii="Arial" w:hAnsi="Arial" w:cs="Arial"/>
          <w:b/>
          <w:noProof w:val="0"/>
          <w:color w:val="1F497D" w:themeColor="text2"/>
          <w:sz w:val="24"/>
          <w:szCs w:val="24"/>
        </w:rPr>
      </w:pPr>
    </w:p>
    <w:p w14:paraId="6E7FF583" w14:textId="3F034CEF" w:rsidR="002E50FC" w:rsidRPr="00D42BE6" w:rsidRDefault="00F67320" w:rsidP="002E50FC">
      <w:pPr>
        <w:pStyle w:val="Informal1"/>
        <w:numPr>
          <w:ilvl w:val="0"/>
          <w:numId w:val="7"/>
        </w:numPr>
        <w:tabs>
          <w:tab w:val="right" w:pos="5472"/>
        </w:tabs>
        <w:rPr>
          <w:rFonts w:ascii="Arial" w:hAnsi="Arial" w:cs="Arial"/>
          <w:noProof w:val="0"/>
          <w:color w:val="1F497D" w:themeColor="text2"/>
          <w:sz w:val="24"/>
          <w:szCs w:val="24"/>
        </w:rPr>
      </w:pPr>
      <w:r w:rsidRPr="00D42BE6">
        <w:rPr>
          <w:rFonts w:ascii="Arial" w:hAnsi="Arial" w:cs="Arial"/>
          <w:b/>
          <w:noProof w:val="0"/>
          <w:color w:val="1F497D" w:themeColor="text2"/>
          <w:sz w:val="24"/>
          <w:szCs w:val="24"/>
        </w:rPr>
        <w:t>OMB circulars</w:t>
      </w:r>
      <w:r w:rsidR="00D42BE6" w:rsidRPr="00D42BE6">
        <w:rPr>
          <w:rFonts w:ascii="Arial" w:hAnsi="Arial" w:cs="Arial"/>
          <w:noProof w:val="0"/>
          <w:color w:val="1F497D" w:themeColor="text2"/>
          <w:sz w:val="24"/>
          <w:szCs w:val="24"/>
        </w:rPr>
        <w:t xml:space="preserve">: </w:t>
      </w:r>
      <w:r w:rsidR="002E50FC" w:rsidRPr="00D42BE6">
        <w:rPr>
          <w:rFonts w:ascii="Arial" w:hAnsi="Arial" w:cs="Arial"/>
          <w:noProof w:val="0"/>
          <w:color w:val="1F497D" w:themeColor="text2"/>
          <w:sz w:val="24"/>
          <w:szCs w:val="24"/>
        </w:rPr>
        <w:t xml:space="preserve">Government-wide guidance issued to Heads of Federal agencies by the Director of OMB. </w:t>
      </w:r>
      <w:r w:rsidR="002671C4" w:rsidRPr="00D42BE6">
        <w:rPr>
          <w:rFonts w:ascii="Arial" w:hAnsi="Arial" w:cs="Arial"/>
          <w:noProof w:val="0"/>
          <w:color w:val="1F497D" w:themeColor="text2"/>
          <w:sz w:val="24"/>
          <w:szCs w:val="24"/>
        </w:rPr>
        <w:t xml:space="preserve">Grant applicant’s budget requests are reviewed for compliance with following OMB standards: </w:t>
      </w:r>
    </w:p>
    <w:p w14:paraId="3DFA9C46" w14:textId="77777777" w:rsidR="002E50FC" w:rsidRPr="00D42BE6" w:rsidRDefault="002E50FC" w:rsidP="002671C4">
      <w:pPr>
        <w:pStyle w:val="Informal1"/>
        <w:numPr>
          <w:ilvl w:val="1"/>
          <w:numId w:val="7"/>
        </w:numPr>
        <w:tabs>
          <w:tab w:val="right" w:pos="5472"/>
        </w:tabs>
        <w:rPr>
          <w:rFonts w:ascii="Arial" w:hAnsi="Arial" w:cs="Arial"/>
          <w:noProof w:val="0"/>
          <w:color w:val="1F497D" w:themeColor="text2"/>
          <w:sz w:val="24"/>
          <w:szCs w:val="24"/>
        </w:rPr>
      </w:pPr>
      <w:r w:rsidRPr="00D42BE6">
        <w:rPr>
          <w:rFonts w:ascii="Arial" w:hAnsi="Arial" w:cs="Arial"/>
          <w:noProof w:val="0"/>
          <w:color w:val="1F497D" w:themeColor="text2"/>
          <w:sz w:val="24"/>
          <w:szCs w:val="24"/>
        </w:rPr>
        <w:t>cost principles</w:t>
      </w:r>
      <w:r w:rsidR="002671C4" w:rsidRPr="00D42BE6">
        <w:rPr>
          <w:rFonts w:ascii="Arial" w:hAnsi="Arial" w:cs="Arial"/>
          <w:noProof w:val="0"/>
          <w:color w:val="1F497D" w:themeColor="text2"/>
          <w:sz w:val="24"/>
          <w:szCs w:val="24"/>
        </w:rPr>
        <w:t>: costs charged to awards must be allowable, allocable, reasonable, necessary, and consistently applied regardless of the source of funds</w:t>
      </w:r>
    </w:p>
    <w:p w14:paraId="524A02AB" w14:textId="77777777" w:rsidR="002E50FC" w:rsidRPr="00D42BE6" w:rsidRDefault="002E50FC" w:rsidP="00DE7BF5">
      <w:pPr>
        <w:pStyle w:val="Informal1"/>
        <w:numPr>
          <w:ilvl w:val="1"/>
          <w:numId w:val="7"/>
        </w:numPr>
        <w:tabs>
          <w:tab w:val="right" w:pos="5472"/>
        </w:tabs>
        <w:rPr>
          <w:rFonts w:ascii="Arial" w:hAnsi="Arial" w:cs="Arial"/>
          <w:noProof w:val="0"/>
          <w:color w:val="1F497D" w:themeColor="text2"/>
          <w:sz w:val="24"/>
          <w:szCs w:val="24"/>
        </w:rPr>
      </w:pPr>
      <w:r w:rsidRPr="00D42BE6">
        <w:rPr>
          <w:rFonts w:ascii="Arial" w:hAnsi="Arial" w:cs="Arial"/>
          <w:noProof w:val="0"/>
          <w:color w:val="1F497D" w:themeColor="text2"/>
          <w:sz w:val="24"/>
          <w:szCs w:val="24"/>
        </w:rPr>
        <w:t xml:space="preserve">uniform administrative requirements </w:t>
      </w:r>
    </w:p>
    <w:p w14:paraId="7C5540C5" w14:textId="77777777" w:rsidR="00F67320" w:rsidRPr="00D42BE6" w:rsidRDefault="002E50FC" w:rsidP="002E50FC">
      <w:pPr>
        <w:pStyle w:val="Informal1"/>
        <w:numPr>
          <w:ilvl w:val="1"/>
          <w:numId w:val="7"/>
        </w:numPr>
        <w:tabs>
          <w:tab w:val="right" w:pos="5472"/>
        </w:tabs>
        <w:rPr>
          <w:rFonts w:ascii="Arial" w:hAnsi="Arial" w:cs="Arial"/>
          <w:noProof w:val="0"/>
          <w:color w:val="1F497D" w:themeColor="text2"/>
          <w:sz w:val="24"/>
          <w:szCs w:val="24"/>
        </w:rPr>
      </w:pPr>
      <w:r w:rsidRPr="00D42BE6">
        <w:rPr>
          <w:rFonts w:ascii="Arial" w:hAnsi="Arial" w:cs="Arial"/>
          <w:noProof w:val="0"/>
          <w:color w:val="1F497D" w:themeColor="text2"/>
          <w:sz w:val="24"/>
          <w:szCs w:val="24"/>
        </w:rPr>
        <w:t xml:space="preserve">audit requirements for non-profit organizations </w:t>
      </w:r>
    </w:p>
    <w:p w14:paraId="6DA2BFEC" w14:textId="77777777" w:rsidR="002E50FC" w:rsidRDefault="002E50FC" w:rsidP="002E50FC">
      <w:pPr>
        <w:pStyle w:val="Informal1"/>
        <w:tabs>
          <w:tab w:val="right" w:pos="5472"/>
        </w:tabs>
        <w:ind w:left="1440"/>
        <w:rPr>
          <w:rFonts w:ascii="Arial" w:hAnsi="Arial" w:cs="Arial"/>
          <w:noProof w:val="0"/>
          <w:color w:val="1F497D" w:themeColor="text2"/>
          <w:sz w:val="24"/>
          <w:szCs w:val="24"/>
        </w:rPr>
      </w:pPr>
    </w:p>
    <w:p w14:paraId="17A9B267" w14:textId="77777777" w:rsidR="00F67320" w:rsidRDefault="00F67320" w:rsidP="00F67320">
      <w:pPr>
        <w:pStyle w:val="Informal1"/>
        <w:numPr>
          <w:ilvl w:val="0"/>
          <w:numId w:val="7"/>
        </w:numPr>
        <w:tabs>
          <w:tab w:val="right" w:pos="5472"/>
        </w:tabs>
        <w:spacing w:before="0" w:after="0"/>
        <w:rPr>
          <w:rFonts w:ascii="Arial" w:hAnsi="Arial" w:cs="Arial"/>
          <w:noProof w:val="0"/>
          <w:color w:val="1F497D" w:themeColor="text2"/>
          <w:sz w:val="24"/>
          <w:szCs w:val="24"/>
        </w:rPr>
      </w:pPr>
      <w:r>
        <w:rPr>
          <w:rFonts w:ascii="Arial" w:hAnsi="Arial" w:cs="Arial"/>
          <w:b/>
          <w:noProof w:val="0"/>
          <w:color w:val="1F497D" w:themeColor="text2"/>
          <w:sz w:val="24"/>
          <w:szCs w:val="24"/>
        </w:rPr>
        <w:t>Other:</w:t>
      </w:r>
      <w:r>
        <w:rPr>
          <w:rFonts w:ascii="Arial" w:hAnsi="Arial" w:cs="Arial"/>
          <w:noProof w:val="0"/>
          <w:color w:val="1F497D" w:themeColor="text2"/>
          <w:sz w:val="24"/>
          <w:szCs w:val="24"/>
        </w:rPr>
        <w:t xml:space="preserve"> Most of the “Other” category is </w:t>
      </w:r>
      <w:r w:rsidRPr="0042769F">
        <w:rPr>
          <w:rFonts w:ascii="Arial" w:hAnsi="Arial" w:cs="Arial"/>
          <w:noProof w:val="0"/>
          <w:color w:val="1F497D" w:themeColor="text2"/>
          <w:sz w:val="24"/>
          <w:szCs w:val="24"/>
        </w:rPr>
        <w:t>External Foundations and Associations</w:t>
      </w:r>
      <w:r>
        <w:rPr>
          <w:rFonts w:ascii="Arial" w:hAnsi="Arial" w:cs="Arial"/>
          <w:noProof w:val="0"/>
          <w:color w:val="1F497D" w:themeColor="text2"/>
          <w:sz w:val="24"/>
          <w:szCs w:val="24"/>
        </w:rPr>
        <w:t>. Generally these are also cost-reimbursement and will break-even. Indirects are not always awarded and when they are there is often a cap of about 10%. Reimbursement is either requested monthly via an invoice or funds are advanced. Often when funds are advanced the first payment is made upon execution of the award document.</w:t>
      </w:r>
    </w:p>
    <w:p w14:paraId="642DE206" w14:textId="77777777" w:rsidR="00F67320" w:rsidRDefault="00F67320" w:rsidP="002211DC">
      <w:pPr>
        <w:pStyle w:val="ListParagraph"/>
        <w:rPr>
          <w:rFonts w:ascii="Arial" w:hAnsi="Arial"/>
          <w:b/>
          <w:color w:val="1F497D" w:themeColor="text2"/>
          <w:sz w:val="24"/>
        </w:rPr>
      </w:pPr>
    </w:p>
    <w:p w14:paraId="6C8BACB0" w14:textId="77777777" w:rsidR="00EC5D6B" w:rsidRDefault="006C0BDD" w:rsidP="00EC5D6B">
      <w:pPr>
        <w:pStyle w:val="ListParagraph"/>
        <w:numPr>
          <w:ilvl w:val="0"/>
          <w:numId w:val="10"/>
        </w:numPr>
        <w:rPr>
          <w:rFonts w:ascii="Arial" w:hAnsi="Arial" w:cs="Arial"/>
          <w:color w:val="1F497D" w:themeColor="text2"/>
          <w:sz w:val="24"/>
          <w:szCs w:val="24"/>
          <w:lang w:val="en"/>
        </w:rPr>
      </w:pPr>
      <w:hyperlink r:id="rId19" w:anchor="OtherSupport" w:history="1">
        <w:r w:rsidR="00EC5D6B" w:rsidRPr="00F76390">
          <w:rPr>
            <w:rStyle w:val="Hyperlink"/>
            <w:rFonts w:ascii="Arial" w:hAnsi="Arial" w:cs="Arial"/>
            <w:b/>
            <w:bCs/>
            <w:color w:val="1F497D" w:themeColor="text2"/>
            <w:sz w:val="24"/>
            <w:szCs w:val="24"/>
            <w:u w:val="none"/>
            <w:lang w:val="en"/>
          </w:rPr>
          <w:t>Other Support</w:t>
        </w:r>
      </w:hyperlink>
      <w:r w:rsidR="00EC5D6B">
        <w:rPr>
          <w:rStyle w:val="Strong"/>
          <w:rFonts w:ascii="Arial" w:hAnsi="Arial" w:cs="Arial"/>
          <w:color w:val="1F497D" w:themeColor="text2"/>
          <w:sz w:val="24"/>
          <w:szCs w:val="24"/>
          <w:lang w:val="en"/>
        </w:rPr>
        <w:t xml:space="preserve">: </w:t>
      </w:r>
      <w:r w:rsidR="00EC5D6B" w:rsidRPr="00F76390">
        <w:rPr>
          <w:rFonts w:ascii="Arial" w:hAnsi="Arial" w:cs="Arial"/>
          <w:color w:val="1F497D" w:themeColor="text2"/>
          <w:sz w:val="24"/>
          <w:szCs w:val="24"/>
          <w:lang w:val="en"/>
        </w:rPr>
        <w:t>Includes all financial resources, whether Federal, non-Federal, commercial or organizational, available in direct support of an individual's research endeavors, including, but not limited to, research grants, cooperative agreements, contracts, or organizational awards. Other support does not include training awards, prizes, or gifts</w:t>
      </w:r>
    </w:p>
    <w:p w14:paraId="3F82CCB6" w14:textId="77777777" w:rsidR="00D42BE6" w:rsidRPr="00F76390" w:rsidRDefault="00D42BE6" w:rsidP="00D42BE6">
      <w:pPr>
        <w:pStyle w:val="ListParagraph"/>
        <w:rPr>
          <w:rFonts w:ascii="Arial" w:hAnsi="Arial" w:cs="Arial"/>
          <w:color w:val="1F497D" w:themeColor="text2"/>
          <w:sz w:val="24"/>
          <w:szCs w:val="24"/>
          <w:lang w:val="en"/>
        </w:rPr>
      </w:pPr>
    </w:p>
    <w:p w14:paraId="456CBEFE" w14:textId="77777777" w:rsidR="00EC5D6B" w:rsidRPr="00F76390" w:rsidRDefault="006C0BDD" w:rsidP="00EC5D6B">
      <w:pPr>
        <w:pStyle w:val="ListParagraph"/>
        <w:numPr>
          <w:ilvl w:val="0"/>
          <w:numId w:val="10"/>
        </w:numPr>
        <w:rPr>
          <w:rFonts w:ascii="Arial" w:hAnsi="Arial" w:cs="Arial"/>
          <w:color w:val="1F497D" w:themeColor="text2"/>
          <w:sz w:val="24"/>
          <w:szCs w:val="24"/>
          <w:lang w:val="en"/>
        </w:rPr>
      </w:pPr>
      <w:hyperlink r:id="rId20" w:anchor="Pass-ThroughEntity" w:history="1">
        <w:r w:rsidR="00EC5D6B" w:rsidRPr="00F76390">
          <w:rPr>
            <w:rStyle w:val="Hyperlink"/>
            <w:rFonts w:ascii="Arial" w:hAnsi="Arial" w:cs="Arial"/>
            <w:b/>
            <w:bCs/>
            <w:color w:val="1F497D" w:themeColor="text2"/>
            <w:sz w:val="24"/>
            <w:szCs w:val="24"/>
            <w:u w:val="none"/>
            <w:lang w:val="en"/>
          </w:rPr>
          <w:t>Pass-Through Entity</w:t>
        </w:r>
        <w:r w:rsidR="00EC5D6B">
          <w:rPr>
            <w:rStyle w:val="Hyperlink"/>
            <w:rFonts w:ascii="Arial" w:hAnsi="Arial" w:cs="Arial"/>
            <w:b/>
            <w:bCs/>
            <w:color w:val="1F497D" w:themeColor="text2"/>
            <w:sz w:val="24"/>
            <w:szCs w:val="24"/>
            <w:u w:val="none"/>
            <w:lang w:val="en"/>
          </w:rPr>
          <w:t>:</w:t>
        </w:r>
        <w:r w:rsidR="00EC5D6B" w:rsidRPr="00F76390">
          <w:rPr>
            <w:rStyle w:val="Hyperlink"/>
            <w:rFonts w:ascii="Arial" w:hAnsi="Arial" w:cs="Arial"/>
            <w:b/>
            <w:bCs/>
            <w:color w:val="1F497D" w:themeColor="text2"/>
            <w:sz w:val="24"/>
            <w:szCs w:val="24"/>
            <w:u w:val="none"/>
            <w:lang w:val="en"/>
          </w:rPr>
          <w:t xml:space="preserve"> </w:t>
        </w:r>
      </w:hyperlink>
      <w:r w:rsidR="00EC5D6B" w:rsidRPr="00F76390">
        <w:rPr>
          <w:rFonts w:ascii="Arial" w:hAnsi="Arial" w:cs="Arial"/>
          <w:color w:val="1F497D" w:themeColor="text2"/>
          <w:sz w:val="24"/>
          <w:szCs w:val="24"/>
          <w:lang w:val="en"/>
        </w:rPr>
        <w:t xml:space="preserve">A non-Federal entity that provides a subaward to a subrecipient to carry out part of a Federal program. </w:t>
      </w:r>
    </w:p>
    <w:p w14:paraId="04207741" w14:textId="77777777" w:rsidR="00EC5D6B" w:rsidRPr="002211DC" w:rsidRDefault="00EC5D6B" w:rsidP="002211DC">
      <w:pPr>
        <w:pStyle w:val="ListParagraph"/>
        <w:rPr>
          <w:rFonts w:ascii="Arial" w:hAnsi="Arial"/>
          <w:b/>
          <w:color w:val="1F497D" w:themeColor="text2"/>
          <w:sz w:val="24"/>
        </w:rPr>
      </w:pPr>
    </w:p>
    <w:p w14:paraId="4F44DA65" w14:textId="77777777" w:rsidR="00F67320" w:rsidRDefault="00F67320" w:rsidP="00F67320">
      <w:pPr>
        <w:pStyle w:val="Informal1"/>
        <w:numPr>
          <w:ilvl w:val="0"/>
          <w:numId w:val="7"/>
        </w:numPr>
        <w:tabs>
          <w:tab w:val="right" w:pos="5472"/>
        </w:tabs>
        <w:spacing w:before="0" w:after="0"/>
        <w:rPr>
          <w:rFonts w:ascii="Arial" w:hAnsi="Arial" w:cs="Arial"/>
          <w:b/>
          <w:noProof w:val="0"/>
          <w:color w:val="1F497D" w:themeColor="text2"/>
          <w:sz w:val="24"/>
          <w:szCs w:val="24"/>
        </w:rPr>
      </w:pPr>
      <w:r>
        <w:rPr>
          <w:rFonts w:ascii="Arial" w:hAnsi="Arial" w:cs="Arial"/>
          <w:b/>
          <w:noProof w:val="0"/>
          <w:color w:val="1F497D" w:themeColor="text2"/>
          <w:sz w:val="24"/>
          <w:szCs w:val="24"/>
        </w:rPr>
        <w:t xml:space="preserve">Per capita/firm fixed price contract: </w:t>
      </w:r>
      <w:r>
        <w:rPr>
          <w:rFonts w:ascii="Arial" w:hAnsi="Arial" w:cs="Arial"/>
          <w:noProof w:val="0"/>
          <w:color w:val="1F497D" w:themeColor="text2"/>
          <w:sz w:val="24"/>
          <w:szCs w:val="24"/>
        </w:rPr>
        <w:t xml:space="preserve"> Some grants provide a lump sum reimbursement based on a predetermined amount per study enrollment regardless of internal cost of service or budget.  Reporting requirements for financial use of these funds are less burdensome as budgets do not need to be approved by the granting agency. All funds may only be spent however on the project they are provided for.</w:t>
      </w:r>
    </w:p>
    <w:p w14:paraId="1F7B22D8" w14:textId="77777777" w:rsidR="00F67320" w:rsidRDefault="00F67320" w:rsidP="00F67320">
      <w:pPr>
        <w:pStyle w:val="ListParagraph"/>
        <w:rPr>
          <w:rFonts w:ascii="Arial" w:hAnsi="Arial" w:cs="Arial"/>
          <w:b/>
          <w:color w:val="1F497D" w:themeColor="text2"/>
          <w:sz w:val="24"/>
          <w:szCs w:val="24"/>
        </w:rPr>
      </w:pPr>
    </w:p>
    <w:p w14:paraId="3DA90357" w14:textId="77777777" w:rsidR="00EC5D6B" w:rsidRDefault="006C0BDD" w:rsidP="00EC5D6B">
      <w:pPr>
        <w:pStyle w:val="ListParagraph"/>
        <w:numPr>
          <w:ilvl w:val="0"/>
          <w:numId w:val="7"/>
        </w:numPr>
        <w:rPr>
          <w:rFonts w:ascii="Arial" w:hAnsi="Arial" w:cs="Arial"/>
          <w:color w:val="1F497D" w:themeColor="text2"/>
          <w:sz w:val="24"/>
          <w:szCs w:val="24"/>
          <w:lang w:val="en"/>
        </w:rPr>
      </w:pPr>
      <w:hyperlink r:id="rId21" w:anchor="PersonMonths" w:history="1">
        <w:r w:rsidR="00EC5D6B" w:rsidRPr="00773225">
          <w:rPr>
            <w:rStyle w:val="Hyperlink"/>
            <w:rFonts w:ascii="Arial" w:hAnsi="Arial" w:cs="Arial"/>
            <w:b/>
            <w:bCs/>
            <w:color w:val="1F497D" w:themeColor="text2"/>
            <w:sz w:val="24"/>
            <w:szCs w:val="24"/>
            <w:u w:val="none"/>
            <w:lang w:val="en"/>
          </w:rPr>
          <w:t>Person Months</w:t>
        </w:r>
      </w:hyperlink>
      <w:r w:rsidR="00EC5D6B" w:rsidRPr="00773225">
        <w:rPr>
          <w:rStyle w:val="Strong"/>
          <w:rFonts w:ascii="Arial" w:hAnsi="Arial" w:cs="Arial"/>
          <w:color w:val="1F497D" w:themeColor="text2"/>
          <w:sz w:val="24"/>
          <w:szCs w:val="24"/>
          <w:lang w:val="en"/>
        </w:rPr>
        <w:t xml:space="preserve">: </w:t>
      </w:r>
      <w:r w:rsidR="00EC5D6B" w:rsidRPr="00773225">
        <w:rPr>
          <w:rFonts w:ascii="Arial" w:hAnsi="Arial" w:cs="Arial"/>
          <w:color w:val="1F497D" w:themeColor="text2"/>
          <w:sz w:val="24"/>
          <w:szCs w:val="24"/>
          <w:lang w:val="en"/>
        </w:rPr>
        <w:t>The metric for expressing the effort (amount of time) PD/PI(s), faculty and other senior/key personnel devote to a specific project. The effort is based on the type of appointment of the individual with the organization; e.g., calendar year, academic year, and/or summer term; and the organization's definition of such.</w:t>
      </w:r>
    </w:p>
    <w:p w14:paraId="6EF95AEC" w14:textId="77777777" w:rsidR="00EC5D6B" w:rsidRPr="00EC5D6B" w:rsidRDefault="00EC5D6B" w:rsidP="00EC5D6B">
      <w:pPr>
        <w:pStyle w:val="ListParagraph"/>
        <w:rPr>
          <w:rFonts w:ascii="Arial" w:hAnsi="Arial" w:cs="Arial"/>
          <w:color w:val="1F497D" w:themeColor="text2"/>
          <w:sz w:val="24"/>
          <w:szCs w:val="24"/>
          <w:lang w:val="en"/>
        </w:rPr>
      </w:pPr>
    </w:p>
    <w:p w14:paraId="4BB4B7BB" w14:textId="77777777" w:rsidR="00EC5D6B" w:rsidRPr="00773225" w:rsidRDefault="00EC5D6B" w:rsidP="00EC5D6B">
      <w:pPr>
        <w:pStyle w:val="ListParagraph"/>
        <w:rPr>
          <w:rFonts w:ascii="Arial" w:hAnsi="Arial" w:cs="Arial"/>
          <w:color w:val="1F497D" w:themeColor="text2"/>
          <w:sz w:val="24"/>
          <w:szCs w:val="24"/>
          <w:lang w:val="en"/>
        </w:rPr>
      </w:pPr>
    </w:p>
    <w:p w14:paraId="17F1F2A8" w14:textId="6616EE66" w:rsidR="00EC5D6B" w:rsidRPr="00773225" w:rsidRDefault="00EC5D6B" w:rsidP="00EC5D6B">
      <w:pPr>
        <w:pStyle w:val="ListParagraph"/>
        <w:numPr>
          <w:ilvl w:val="0"/>
          <w:numId w:val="7"/>
        </w:numPr>
        <w:rPr>
          <w:rFonts w:ascii="Arial" w:hAnsi="Arial" w:cs="Arial"/>
          <w:color w:val="1F497D" w:themeColor="text2"/>
          <w:sz w:val="24"/>
          <w:szCs w:val="24"/>
          <w:lang w:val="en"/>
        </w:rPr>
      </w:pPr>
      <w:hyperlink r:id="rId22" w:anchor="Pre-AwardCosts" w:history="1">
        <w:r w:rsidRPr="00773225">
          <w:rPr>
            <w:rStyle w:val="Hyperlink"/>
            <w:rFonts w:ascii="Arial" w:hAnsi="Arial" w:cs="Arial"/>
            <w:b/>
            <w:bCs/>
            <w:color w:val="1F497D" w:themeColor="text2"/>
            <w:sz w:val="24"/>
            <w:szCs w:val="24"/>
            <w:u w:val="none"/>
            <w:lang w:val="en"/>
          </w:rPr>
          <w:t>Pre-Award Costs</w:t>
        </w:r>
      </w:hyperlink>
      <w:r w:rsidRPr="00773225">
        <w:rPr>
          <w:rStyle w:val="Strong"/>
          <w:rFonts w:ascii="Arial" w:hAnsi="Arial" w:cs="Arial"/>
          <w:color w:val="1F497D" w:themeColor="text2"/>
          <w:sz w:val="24"/>
          <w:szCs w:val="24"/>
          <w:lang w:val="en"/>
        </w:rPr>
        <w:t xml:space="preserve">: </w:t>
      </w:r>
      <w:r w:rsidRPr="00773225">
        <w:rPr>
          <w:rFonts w:ascii="Arial" w:hAnsi="Arial" w:cs="Arial"/>
          <w:color w:val="1F497D" w:themeColor="text2"/>
          <w:sz w:val="24"/>
          <w:szCs w:val="24"/>
          <w:lang w:val="en"/>
        </w:rPr>
        <w:t>Any cost incurred prior to the beginning date of the project period or the initial budget period of a competitive segment (under a multi-year award), in anticipation of the award and at the applicant's own risk, for otherwise allowable costs.</w:t>
      </w:r>
      <w:r w:rsidR="0075251E">
        <w:rPr>
          <w:rFonts w:ascii="Arial" w:hAnsi="Arial" w:cs="Arial"/>
          <w:color w:val="1F497D" w:themeColor="text2"/>
          <w:sz w:val="24"/>
          <w:szCs w:val="24"/>
          <w:lang w:val="en"/>
        </w:rPr>
        <w:t xml:space="preserve">  The NIH has specific guidelines around pre-award spending that can be found </w:t>
      </w:r>
      <w:hyperlink r:id="rId23" w:history="1">
        <w:r w:rsidR="0075251E" w:rsidRPr="0075251E">
          <w:rPr>
            <w:rStyle w:val="Hyperlink"/>
            <w:rFonts w:ascii="Arial" w:hAnsi="Arial" w:cs="Arial"/>
            <w:sz w:val="24"/>
            <w:szCs w:val="24"/>
            <w:lang w:val="en"/>
          </w:rPr>
          <w:t>at this website</w:t>
        </w:r>
      </w:hyperlink>
      <w:r w:rsidR="0075251E">
        <w:rPr>
          <w:rFonts w:ascii="Arial" w:hAnsi="Arial" w:cs="Arial"/>
          <w:color w:val="1F497D" w:themeColor="text2"/>
          <w:sz w:val="24"/>
          <w:szCs w:val="24"/>
          <w:lang w:val="en"/>
        </w:rPr>
        <w:t xml:space="preserve"> under “Pre-Award (Pre-Agreement) Costs”.</w:t>
      </w:r>
    </w:p>
    <w:p w14:paraId="5CF77653" w14:textId="77777777" w:rsidR="00EC5D6B" w:rsidRPr="00EC5D6B" w:rsidRDefault="00EC5D6B" w:rsidP="00EC5D6B">
      <w:pPr>
        <w:pStyle w:val="ListParagraph"/>
        <w:rPr>
          <w:rFonts w:ascii="Verdana" w:hAnsi="Verdana"/>
          <w:lang w:val="en"/>
        </w:rPr>
      </w:pPr>
    </w:p>
    <w:p w14:paraId="635AA6C9" w14:textId="77777777" w:rsidR="00EC5D6B" w:rsidRPr="00A74AAE" w:rsidRDefault="006C0BDD" w:rsidP="00EC5D6B">
      <w:pPr>
        <w:pStyle w:val="ListParagraph"/>
        <w:numPr>
          <w:ilvl w:val="0"/>
          <w:numId w:val="7"/>
        </w:numPr>
        <w:rPr>
          <w:rFonts w:ascii="Verdana" w:hAnsi="Verdana"/>
          <w:lang w:val="en"/>
        </w:rPr>
      </w:pPr>
      <w:hyperlink r:id="rId24" w:anchor="PriorApproval" w:history="1">
        <w:r w:rsidR="00EC5D6B" w:rsidRPr="00773225">
          <w:rPr>
            <w:rStyle w:val="Hyperlink"/>
            <w:rFonts w:ascii="Arial" w:hAnsi="Arial" w:cs="Arial"/>
            <w:b/>
            <w:bCs/>
            <w:color w:val="1F497D" w:themeColor="text2"/>
            <w:sz w:val="24"/>
            <w:szCs w:val="24"/>
            <w:u w:val="none"/>
            <w:lang w:val="en"/>
          </w:rPr>
          <w:t>Prior Approval</w:t>
        </w:r>
      </w:hyperlink>
      <w:r w:rsidR="00EC5D6B" w:rsidRPr="00773225">
        <w:rPr>
          <w:rStyle w:val="Strong"/>
          <w:rFonts w:ascii="Arial" w:hAnsi="Arial" w:cs="Arial"/>
          <w:color w:val="1F497D" w:themeColor="text2"/>
          <w:sz w:val="24"/>
          <w:szCs w:val="24"/>
          <w:lang w:val="en"/>
        </w:rPr>
        <w:t xml:space="preserve">: </w:t>
      </w:r>
      <w:r w:rsidR="00EC5D6B" w:rsidRPr="00773225">
        <w:rPr>
          <w:rFonts w:ascii="Arial" w:hAnsi="Arial" w:cs="Arial"/>
          <w:color w:val="1F497D" w:themeColor="text2"/>
          <w:sz w:val="24"/>
          <w:szCs w:val="24"/>
          <w:lang w:val="en"/>
        </w:rPr>
        <w:t>Written approval by an authorized HHS official, e.g., a designated IC GMO, evidencing prior consent before a recipient undertakes certain activities or incurs specific costs</w:t>
      </w:r>
      <w:r w:rsidR="00EC5D6B" w:rsidRPr="00773225">
        <w:rPr>
          <w:rFonts w:ascii="Verdana" w:hAnsi="Verdana"/>
          <w:color w:val="1F497D" w:themeColor="text2"/>
          <w:lang w:val="en"/>
        </w:rPr>
        <w:t xml:space="preserve"> </w:t>
      </w:r>
      <w:r w:rsidR="00EC5D6B" w:rsidRPr="00A74AAE">
        <w:rPr>
          <w:rFonts w:ascii="Verdana" w:hAnsi="Verdana"/>
          <w:lang w:val="en"/>
        </w:rPr>
        <w:t xml:space="preserve">(see </w:t>
      </w:r>
      <w:hyperlink r:id="rId25" w:anchor="Prior" w:history="1">
        <w:r w:rsidR="00EC5D6B" w:rsidRPr="00A74AAE">
          <w:rPr>
            <w:rStyle w:val="Hyperlink"/>
            <w:rFonts w:ascii="Verdana" w:hAnsi="Verdana"/>
            <w:lang w:val="en"/>
          </w:rPr>
          <w:t>Administrative Requirements-Changes in Project and Budget-Prior Approval Requirements</w:t>
        </w:r>
      </w:hyperlink>
      <w:r w:rsidR="00EC5D6B" w:rsidRPr="00A74AAE">
        <w:rPr>
          <w:rFonts w:ascii="Verdana" w:hAnsi="Verdana"/>
          <w:lang w:val="en"/>
        </w:rPr>
        <w:t xml:space="preserve">). </w:t>
      </w:r>
    </w:p>
    <w:p w14:paraId="0A966D7C" w14:textId="77777777" w:rsidR="006370CF" w:rsidRPr="006370CF" w:rsidRDefault="006370CF" w:rsidP="006370CF">
      <w:pPr>
        <w:pStyle w:val="ListParagraph"/>
        <w:rPr>
          <w:rFonts w:ascii="Arial" w:hAnsi="Arial" w:cs="Arial"/>
          <w:color w:val="1F497D" w:themeColor="text2"/>
          <w:sz w:val="24"/>
          <w:szCs w:val="24"/>
          <w:lang w:val="en"/>
        </w:rPr>
      </w:pPr>
    </w:p>
    <w:p w14:paraId="27BD6129" w14:textId="77777777" w:rsidR="00EC5D6B" w:rsidRPr="00773225" w:rsidRDefault="006C0BDD" w:rsidP="00EC5D6B">
      <w:pPr>
        <w:pStyle w:val="ListParagraph"/>
        <w:numPr>
          <w:ilvl w:val="0"/>
          <w:numId w:val="7"/>
        </w:numPr>
        <w:rPr>
          <w:rFonts w:ascii="Arial" w:hAnsi="Arial" w:cs="Arial"/>
          <w:color w:val="1F497D" w:themeColor="text2"/>
          <w:sz w:val="24"/>
          <w:szCs w:val="24"/>
          <w:lang w:val="en"/>
        </w:rPr>
      </w:pPr>
      <w:hyperlink r:id="rId26" w:anchor="ProgressReport" w:history="1">
        <w:r w:rsidR="00EC5D6B" w:rsidRPr="00773225">
          <w:rPr>
            <w:rStyle w:val="Hyperlink"/>
            <w:rFonts w:ascii="Arial" w:hAnsi="Arial" w:cs="Arial"/>
            <w:b/>
            <w:bCs/>
            <w:color w:val="1F497D" w:themeColor="text2"/>
            <w:sz w:val="24"/>
            <w:szCs w:val="24"/>
            <w:u w:val="none"/>
            <w:lang w:val="en"/>
          </w:rPr>
          <w:t>Progress Report</w:t>
        </w:r>
      </w:hyperlink>
      <w:r w:rsidR="00EC5D6B" w:rsidRPr="00773225">
        <w:rPr>
          <w:rStyle w:val="Strong"/>
          <w:rFonts w:ascii="Arial" w:hAnsi="Arial" w:cs="Arial"/>
          <w:color w:val="1F497D" w:themeColor="text2"/>
          <w:sz w:val="24"/>
          <w:szCs w:val="24"/>
          <w:lang w:val="en"/>
        </w:rPr>
        <w:t xml:space="preserve">: </w:t>
      </w:r>
      <w:r w:rsidR="00EC5D6B" w:rsidRPr="00773225">
        <w:rPr>
          <w:rFonts w:ascii="Arial" w:hAnsi="Arial" w:cs="Arial"/>
          <w:color w:val="1F497D" w:themeColor="text2"/>
          <w:sz w:val="24"/>
          <w:szCs w:val="24"/>
          <w:lang w:val="en"/>
        </w:rPr>
        <w:t>Periodic, usually annual, report submitted by the grantee and used by NIH to assess progress and, except for the final progress report of a project period, to determine whether to provide funding for the budget period subsequent to that covered by the report. This report may also be called the non-competing continuation progress report.</w:t>
      </w:r>
    </w:p>
    <w:p w14:paraId="64E23F57" w14:textId="77777777" w:rsidR="00EC5D6B" w:rsidRPr="00EC5D6B" w:rsidRDefault="00EC5D6B" w:rsidP="00EC5D6B">
      <w:pPr>
        <w:pStyle w:val="ListParagraph"/>
        <w:rPr>
          <w:rFonts w:ascii="Arial" w:hAnsi="Arial" w:cs="Arial"/>
          <w:color w:val="1F497D" w:themeColor="text2"/>
          <w:sz w:val="24"/>
          <w:szCs w:val="24"/>
          <w:lang w:val="en"/>
        </w:rPr>
      </w:pPr>
    </w:p>
    <w:p w14:paraId="27452A34" w14:textId="77777777" w:rsidR="00EC5D6B" w:rsidRPr="00773225" w:rsidRDefault="006C0BDD" w:rsidP="00EC5D6B">
      <w:pPr>
        <w:pStyle w:val="ListParagraph"/>
        <w:numPr>
          <w:ilvl w:val="0"/>
          <w:numId w:val="7"/>
        </w:numPr>
        <w:rPr>
          <w:rFonts w:ascii="Arial" w:hAnsi="Arial" w:cs="Arial"/>
          <w:color w:val="1F497D" w:themeColor="text2"/>
          <w:sz w:val="24"/>
          <w:szCs w:val="24"/>
          <w:lang w:val="en"/>
        </w:rPr>
      </w:pPr>
      <w:hyperlink r:id="rId27" w:anchor="ProjectPeriod" w:history="1">
        <w:r w:rsidR="00EC5D6B" w:rsidRPr="00773225">
          <w:rPr>
            <w:rStyle w:val="Hyperlink"/>
            <w:rFonts w:ascii="Arial" w:hAnsi="Arial" w:cs="Arial"/>
            <w:b/>
            <w:bCs/>
            <w:color w:val="1F497D" w:themeColor="text2"/>
            <w:sz w:val="24"/>
            <w:szCs w:val="24"/>
            <w:u w:val="none"/>
            <w:lang w:val="en"/>
          </w:rPr>
          <w:t>Project Period</w:t>
        </w:r>
      </w:hyperlink>
      <w:r w:rsidR="00EC5D6B" w:rsidRPr="00773225">
        <w:rPr>
          <w:rStyle w:val="Strong"/>
          <w:rFonts w:ascii="Arial" w:hAnsi="Arial" w:cs="Arial"/>
          <w:color w:val="1F497D" w:themeColor="text2"/>
          <w:sz w:val="24"/>
          <w:szCs w:val="24"/>
          <w:lang w:val="en"/>
        </w:rPr>
        <w:t xml:space="preserve">: </w:t>
      </w:r>
      <w:r w:rsidR="00EC5D6B" w:rsidRPr="00773225">
        <w:rPr>
          <w:rFonts w:ascii="Arial" w:hAnsi="Arial" w:cs="Arial"/>
          <w:color w:val="1F497D" w:themeColor="text2"/>
          <w:sz w:val="24"/>
          <w:szCs w:val="24"/>
          <w:lang w:val="en"/>
        </w:rPr>
        <w:t>The total time for which Federal support of a project has been programmatically approved as shown in the NoA; however it does not constitute a commitment by the Federal government to fund the entire period. The total project period comprises the initial competitive segment, any subsequent competitive segment(s) resulting from a renewal award(s), and extensions.</w:t>
      </w:r>
    </w:p>
    <w:p w14:paraId="08E218E8" w14:textId="77777777" w:rsidR="00EC5D6B" w:rsidRPr="00EC5D6B" w:rsidRDefault="00EC5D6B" w:rsidP="00EC5D6B">
      <w:pPr>
        <w:pStyle w:val="ListParagraph"/>
        <w:rPr>
          <w:rFonts w:ascii="Verdana" w:hAnsi="Verdana"/>
          <w:lang w:val="en"/>
        </w:rPr>
      </w:pPr>
    </w:p>
    <w:p w14:paraId="2370CB3C" w14:textId="77777777" w:rsidR="00EC5D6B" w:rsidRPr="00A74AAE" w:rsidRDefault="00EC5D6B" w:rsidP="00EC5D6B">
      <w:pPr>
        <w:pStyle w:val="ListParagraph"/>
        <w:numPr>
          <w:ilvl w:val="0"/>
          <w:numId w:val="7"/>
        </w:numPr>
        <w:rPr>
          <w:rFonts w:ascii="Verdana" w:hAnsi="Verdana"/>
          <w:lang w:val="en"/>
        </w:rPr>
      </w:pPr>
      <w:hyperlink r:id="rId28" w:anchor="ResearchPerformanceProgressReport(RPPR)" w:history="1">
        <w:r w:rsidRPr="00773225">
          <w:rPr>
            <w:rStyle w:val="Hyperlink"/>
            <w:rFonts w:ascii="Arial" w:hAnsi="Arial" w:cs="Arial"/>
            <w:b/>
            <w:bCs/>
            <w:color w:val="1F497D" w:themeColor="text2"/>
            <w:sz w:val="24"/>
            <w:szCs w:val="24"/>
            <w:u w:val="none"/>
            <w:lang w:val="en"/>
          </w:rPr>
          <w:t xml:space="preserve">Research Performance Progress Report (RPPR): </w:t>
        </w:r>
      </w:hyperlink>
      <w:r w:rsidRPr="00773225">
        <w:rPr>
          <w:rFonts w:ascii="Arial" w:hAnsi="Arial" w:cs="Arial"/>
          <w:color w:val="1F497D" w:themeColor="text2"/>
          <w:sz w:val="24"/>
          <w:szCs w:val="24"/>
          <w:lang w:val="en"/>
        </w:rPr>
        <w:t>Progress reports are required annually to document grantee accomplishments and compliance with terms of award. They describe scientific progress, identify significant changes, report on personnel, and describe plans for the subsequent budget period or year. See</w:t>
      </w:r>
      <w:r w:rsidRPr="00773225">
        <w:rPr>
          <w:rFonts w:ascii="Verdana" w:hAnsi="Verdana"/>
          <w:color w:val="1F497D" w:themeColor="text2"/>
          <w:lang w:val="en"/>
        </w:rPr>
        <w:t xml:space="preserve"> </w:t>
      </w:r>
      <w:hyperlink r:id="rId29" w:history="1">
        <w:r w:rsidRPr="00A74AAE">
          <w:rPr>
            <w:rFonts w:ascii="Verdana" w:hAnsi="Verdana"/>
            <w:color w:val="0066CC"/>
            <w:lang w:val="en"/>
          </w:rPr>
          <w:t>http://grants.nih.gov/grants/rppr/</w:t>
        </w:r>
      </w:hyperlink>
    </w:p>
    <w:p w14:paraId="5C85823C" w14:textId="77777777" w:rsidR="00EC5D6B" w:rsidRPr="00EC5D6B" w:rsidRDefault="00EC5D6B" w:rsidP="00EC5D6B">
      <w:pPr>
        <w:pStyle w:val="ListParagraph"/>
        <w:rPr>
          <w:rFonts w:ascii="Verdana" w:hAnsi="Verdana"/>
          <w:lang w:val="en"/>
        </w:rPr>
      </w:pPr>
    </w:p>
    <w:p w14:paraId="19D2F977" w14:textId="77777777" w:rsidR="00EC5D6B" w:rsidRPr="00A74AAE" w:rsidRDefault="006C0BDD" w:rsidP="00EC5D6B">
      <w:pPr>
        <w:pStyle w:val="ListParagraph"/>
        <w:numPr>
          <w:ilvl w:val="0"/>
          <w:numId w:val="7"/>
        </w:numPr>
        <w:rPr>
          <w:rFonts w:ascii="Verdana" w:hAnsi="Verdana"/>
          <w:lang w:val="en"/>
        </w:rPr>
      </w:pPr>
      <w:hyperlink r:id="rId30" w:anchor="SalaryCap/Limitation" w:history="1">
        <w:r w:rsidR="00EC5D6B" w:rsidRPr="00773225">
          <w:rPr>
            <w:rStyle w:val="Hyperlink"/>
            <w:rFonts w:ascii="Arial" w:hAnsi="Arial" w:cs="Arial"/>
            <w:b/>
            <w:bCs/>
            <w:color w:val="1F497D" w:themeColor="text2"/>
            <w:sz w:val="24"/>
            <w:szCs w:val="24"/>
            <w:u w:val="none"/>
            <w:lang w:val="en"/>
          </w:rPr>
          <w:t>Salary Cap/Limitation</w:t>
        </w:r>
      </w:hyperlink>
      <w:r w:rsidR="00EC5D6B" w:rsidRPr="00773225">
        <w:rPr>
          <w:rStyle w:val="Strong"/>
          <w:rFonts w:ascii="Arial" w:hAnsi="Arial" w:cs="Arial"/>
          <w:b w:val="0"/>
          <w:color w:val="1F497D" w:themeColor="text2"/>
          <w:sz w:val="24"/>
          <w:szCs w:val="24"/>
          <w:lang w:val="en"/>
        </w:rPr>
        <w:t>:</w:t>
      </w:r>
      <w:r w:rsidR="00EC5D6B" w:rsidRPr="0075251E">
        <w:rPr>
          <w:rStyle w:val="Strong"/>
          <w:rFonts w:ascii="Arial" w:hAnsi="Arial" w:cs="Arial"/>
          <w:color w:val="1F497D" w:themeColor="text2"/>
          <w:sz w:val="24"/>
          <w:szCs w:val="24"/>
          <w:lang w:val="en"/>
        </w:rPr>
        <w:t xml:space="preserve"> </w:t>
      </w:r>
      <w:r w:rsidR="00EC5D6B" w:rsidRPr="0075251E">
        <w:rPr>
          <w:rFonts w:ascii="Arial" w:hAnsi="Arial" w:cs="Arial"/>
          <w:color w:val="1F497D" w:themeColor="text2"/>
          <w:sz w:val="24"/>
          <w:szCs w:val="24"/>
          <w:lang w:val="en"/>
        </w:rPr>
        <w:t xml:space="preserve">A legislatively-mandated provision limiting the direct salary (also known as salary or institutional base salary, but excluding any fringe benefits and F&amp;A costs) for individuals working on NIH grants, cooperative agreement awards, and extramural research and development contracts. For current and historical salary cap levels, go to </w:t>
      </w:r>
      <w:hyperlink r:id="rId31" w:history="1">
        <w:r w:rsidR="00EC5D6B" w:rsidRPr="00A74AAE">
          <w:rPr>
            <w:rStyle w:val="Hyperlink"/>
            <w:rFonts w:ascii="Verdana" w:hAnsi="Verdana"/>
            <w:color w:val="0066CC"/>
            <w:lang w:val="en"/>
          </w:rPr>
          <w:t>Salary Cap Summary</w:t>
        </w:r>
      </w:hyperlink>
      <w:r w:rsidR="00EC5D6B" w:rsidRPr="00A74AAE">
        <w:rPr>
          <w:rFonts w:ascii="Verdana" w:hAnsi="Verdana"/>
          <w:lang w:val="en"/>
        </w:rPr>
        <w:t>.</w:t>
      </w:r>
    </w:p>
    <w:p w14:paraId="5D5D39F6" w14:textId="77777777" w:rsidR="00EC5D6B" w:rsidRPr="00EC5D6B" w:rsidRDefault="00EC5D6B" w:rsidP="00EC5D6B">
      <w:pPr>
        <w:pStyle w:val="ListParagraph"/>
        <w:rPr>
          <w:rFonts w:ascii="Arial" w:hAnsi="Arial" w:cs="Arial"/>
          <w:color w:val="1F497D" w:themeColor="text2"/>
          <w:sz w:val="24"/>
          <w:szCs w:val="24"/>
          <w:lang w:val="en"/>
        </w:rPr>
      </w:pPr>
    </w:p>
    <w:p w14:paraId="4DB907D2" w14:textId="77777777" w:rsidR="00EC5D6B" w:rsidRPr="00773225" w:rsidRDefault="006C0BDD" w:rsidP="00EC5D6B">
      <w:pPr>
        <w:pStyle w:val="ListParagraph"/>
        <w:numPr>
          <w:ilvl w:val="0"/>
          <w:numId w:val="7"/>
        </w:numPr>
        <w:rPr>
          <w:rFonts w:ascii="Arial" w:hAnsi="Arial" w:cs="Arial"/>
          <w:color w:val="1F497D" w:themeColor="text2"/>
          <w:sz w:val="24"/>
          <w:szCs w:val="24"/>
          <w:lang w:val="en"/>
        </w:rPr>
      </w:pPr>
      <w:hyperlink r:id="rId32" w:anchor="Senior/KeyPersonnel" w:history="1">
        <w:r w:rsidR="00EC5D6B" w:rsidRPr="00773225">
          <w:rPr>
            <w:rStyle w:val="Hyperlink"/>
            <w:rFonts w:ascii="Arial" w:hAnsi="Arial" w:cs="Arial"/>
            <w:b/>
            <w:bCs/>
            <w:color w:val="1F497D" w:themeColor="text2"/>
            <w:sz w:val="24"/>
            <w:szCs w:val="24"/>
            <w:u w:val="none"/>
            <w:lang w:val="en"/>
          </w:rPr>
          <w:t>Senior/Key Personnel</w:t>
        </w:r>
      </w:hyperlink>
      <w:r w:rsidR="00EC5D6B" w:rsidRPr="00773225">
        <w:rPr>
          <w:rStyle w:val="Strong"/>
          <w:rFonts w:ascii="Arial" w:hAnsi="Arial" w:cs="Arial"/>
          <w:b w:val="0"/>
          <w:color w:val="1F497D" w:themeColor="text2"/>
          <w:sz w:val="24"/>
          <w:szCs w:val="24"/>
          <w:lang w:val="en"/>
        </w:rPr>
        <w:t>:</w:t>
      </w:r>
      <w:r w:rsidR="00EC5D6B" w:rsidRPr="00773225">
        <w:rPr>
          <w:rStyle w:val="Strong"/>
          <w:rFonts w:ascii="Arial" w:hAnsi="Arial" w:cs="Arial"/>
          <w:color w:val="1F497D" w:themeColor="text2"/>
          <w:sz w:val="24"/>
          <w:szCs w:val="24"/>
          <w:lang w:val="en"/>
        </w:rPr>
        <w:t xml:space="preserve"> </w:t>
      </w:r>
      <w:r w:rsidR="00EC5D6B" w:rsidRPr="00773225">
        <w:rPr>
          <w:rFonts w:ascii="Arial" w:hAnsi="Arial" w:cs="Arial"/>
          <w:color w:val="1F497D" w:themeColor="text2"/>
          <w:sz w:val="24"/>
          <w:szCs w:val="24"/>
          <w:lang w:val="en"/>
        </w:rPr>
        <w:t xml:space="preserve">The PD/PI and other individuals who contribute to the scientific development or execution of a project in a substantive, measurable way, whether or not they receive salaries or compensation under the grant. Senior/key personnel must devote measurable effort to the project whether or not salaries or compensation are requested. "Zero percent" effort or "as needed" are not acceptable levels of involvement for those designated as Senior/Key Personnel. </w:t>
      </w:r>
    </w:p>
    <w:p w14:paraId="3D2C08DF" w14:textId="77777777" w:rsidR="00EC5D6B" w:rsidRPr="00EC5D6B" w:rsidRDefault="00EC5D6B" w:rsidP="00EC5D6B">
      <w:pPr>
        <w:pStyle w:val="ListParagraph"/>
        <w:rPr>
          <w:rFonts w:ascii="Arial" w:hAnsi="Arial" w:cs="Arial"/>
          <w:color w:val="1F497D" w:themeColor="text2"/>
          <w:sz w:val="24"/>
          <w:szCs w:val="24"/>
          <w:lang w:val="en"/>
        </w:rPr>
      </w:pPr>
    </w:p>
    <w:p w14:paraId="4E6DE8F7" w14:textId="77777777" w:rsidR="00EC5D6B" w:rsidRPr="00773225" w:rsidRDefault="006C0BDD" w:rsidP="00EC5D6B">
      <w:pPr>
        <w:pStyle w:val="ListParagraph"/>
        <w:numPr>
          <w:ilvl w:val="0"/>
          <w:numId w:val="7"/>
        </w:numPr>
        <w:rPr>
          <w:rFonts w:ascii="Arial" w:hAnsi="Arial" w:cs="Arial"/>
          <w:color w:val="1F497D" w:themeColor="text2"/>
          <w:sz w:val="24"/>
          <w:szCs w:val="24"/>
          <w:lang w:val="en"/>
        </w:rPr>
      </w:pPr>
      <w:hyperlink r:id="rId33" w:anchor="SignificantRebudgeting" w:history="1">
        <w:r w:rsidR="00EC5D6B" w:rsidRPr="00773225">
          <w:rPr>
            <w:rStyle w:val="Hyperlink"/>
            <w:rFonts w:ascii="Arial" w:hAnsi="Arial" w:cs="Arial"/>
            <w:b/>
            <w:bCs/>
            <w:color w:val="1F497D" w:themeColor="text2"/>
            <w:sz w:val="24"/>
            <w:szCs w:val="24"/>
            <w:u w:val="none"/>
            <w:lang w:val="en"/>
          </w:rPr>
          <w:t>Significant Rebudgeting</w:t>
        </w:r>
      </w:hyperlink>
      <w:r w:rsidR="00EC5D6B" w:rsidRPr="00773225">
        <w:rPr>
          <w:rStyle w:val="Strong"/>
          <w:rFonts w:ascii="Arial" w:hAnsi="Arial" w:cs="Arial"/>
          <w:b w:val="0"/>
          <w:color w:val="1F497D" w:themeColor="text2"/>
          <w:sz w:val="24"/>
          <w:szCs w:val="24"/>
          <w:lang w:val="en"/>
        </w:rPr>
        <w:t>:</w:t>
      </w:r>
      <w:r w:rsidR="00EC5D6B" w:rsidRPr="00773225">
        <w:rPr>
          <w:rStyle w:val="Strong"/>
          <w:rFonts w:ascii="Arial" w:hAnsi="Arial" w:cs="Arial"/>
          <w:color w:val="1F497D" w:themeColor="text2"/>
          <w:sz w:val="24"/>
          <w:szCs w:val="24"/>
          <w:lang w:val="en"/>
        </w:rPr>
        <w:t xml:space="preserve"> </w:t>
      </w:r>
      <w:r w:rsidR="00EC5D6B" w:rsidRPr="00773225">
        <w:rPr>
          <w:rFonts w:ascii="Arial" w:hAnsi="Arial" w:cs="Arial"/>
          <w:color w:val="1F497D" w:themeColor="text2"/>
          <w:sz w:val="24"/>
          <w:szCs w:val="24"/>
          <w:lang w:val="en"/>
        </w:rPr>
        <w:t>A threshold that is reached when expenditures in a single direct cost budget category deviate (increase or decrease) from the categorical commitment level established for the budget period by more than 25 percent of the total costs awarded.</w:t>
      </w:r>
    </w:p>
    <w:p w14:paraId="2B75F6B7" w14:textId="77777777" w:rsidR="00690308" w:rsidRPr="002211DC" w:rsidRDefault="00690308" w:rsidP="002211DC">
      <w:pPr>
        <w:pStyle w:val="Informal1"/>
        <w:tabs>
          <w:tab w:val="right" w:pos="5472"/>
        </w:tabs>
        <w:spacing w:before="0" w:after="0"/>
        <w:ind w:left="720"/>
        <w:rPr>
          <w:rFonts w:ascii="Arial" w:hAnsi="Arial"/>
          <w:color w:val="1F497D" w:themeColor="text2"/>
          <w:sz w:val="24"/>
        </w:rPr>
      </w:pPr>
    </w:p>
    <w:p w14:paraId="6786849F" w14:textId="5B3E3CDB" w:rsidR="00810D0E" w:rsidRDefault="00810D0E" w:rsidP="0028713C">
      <w:pPr>
        <w:pStyle w:val="Informal1"/>
        <w:numPr>
          <w:ilvl w:val="0"/>
          <w:numId w:val="7"/>
        </w:numPr>
        <w:tabs>
          <w:tab w:val="right" w:pos="5472"/>
        </w:tabs>
        <w:spacing w:before="0" w:after="0"/>
        <w:rPr>
          <w:rFonts w:ascii="Arial" w:hAnsi="Arial" w:cs="Arial"/>
          <w:noProof w:val="0"/>
          <w:color w:val="1F497D" w:themeColor="text2"/>
          <w:sz w:val="24"/>
          <w:szCs w:val="24"/>
        </w:rPr>
      </w:pPr>
      <w:r>
        <w:rPr>
          <w:rFonts w:ascii="Arial" w:hAnsi="Arial" w:cs="Arial"/>
          <w:b/>
          <w:noProof w:val="0"/>
          <w:color w:val="1F497D" w:themeColor="text2"/>
          <w:sz w:val="24"/>
          <w:szCs w:val="24"/>
        </w:rPr>
        <w:t>Start and End Dates:</w:t>
      </w:r>
      <w:r w:rsidR="006D6881">
        <w:rPr>
          <w:rFonts w:ascii="Arial" w:hAnsi="Arial" w:cs="Arial"/>
          <w:b/>
          <w:noProof w:val="0"/>
          <w:color w:val="1F497D" w:themeColor="text2"/>
          <w:sz w:val="24"/>
          <w:szCs w:val="24"/>
        </w:rPr>
        <w:t xml:space="preserve"> </w:t>
      </w:r>
      <w:r w:rsidR="00ED0329">
        <w:rPr>
          <w:rFonts w:ascii="Arial" w:hAnsi="Arial" w:cs="Arial"/>
          <w:noProof w:val="0"/>
          <w:color w:val="1F497D" w:themeColor="text2"/>
          <w:sz w:val="24"/>
          <w:szCs w:val="24"/>
        </w:rPr>
        <w:t xml:space="preserve">Grants </w:t>
      </w:r>
      <w:r w:rsidR="00BD22B2">
        <w:rPr>
          <w:rFonts w:ascii="Arial" w:hAnsi="Arial" w:cs="Arial"/>
          <w:noProof w:val="0"/>
          <w:color w:val="1F497D" w:themeColor="text2"/>
          <w:sz w:val="24"/>
          <w:szCs w:val="24"/>
        </w:rPr>
        <w:t xml:space="preserve">do not align with traditional fiscal year end reports as they </w:t>
      </w:r>
      <w:r w:rsidR="00ED0329">
        <w:rPr>
          <w:rFonts w:ascii="Arial" w:hAnsi="Arial" w:cs="Arial"/>
          <w:noProof w:val="0"/>
          <w:color w:val="1F497D" w:themeColor="text2"/>
          <w:sz w:val="24"/>
          <w:szCs w:val="24"/>
        </w:rPr>
        <w:t xml:space="preserve">start &amp; end throughout the year </w:t>
      </w:r>
      <w:r w:rsidR="00BD22B2">
        <w:rPr>
          <w:rFonts w:ascii="Arial" w:hAnsi="Arial" w:cs="Arial"/>
          <w:noProof w:val="0"/>
          <w:color w:val="1F497D" w:themeColor="text2"/>
          <w:sz w:val="24"/>
          <w:szCs w:val="24"/>
        </w:rPr>
        <w:t>and may overlap multiple years.</w:t>
      </w:r>
      <w:r w:rsidR="00ED0329">
        <w:rPr>
          <w:rFonts w:ascii="Arial" w:hAnsi="Arial" w:cs="Arial"/>
          <w:noProof w:val="0"/>
          <w:color w:val="1F497D" w:themeColor="text2"/>
          <w:sz w:val="24"/>
          <w:szCs w:val="24"/>
        </w:rPr>
        <w:t xml:space="preserve"> For example some foundations make a large initial advance, so it’s possible that the </w:t>
      </w:r>
      <w:r w:rsidR="00ED0329">
        <w:rPr>
          <w:rFonts w:ascii="Arial" w:hAnsi="Arial" w:cs="Arial"/>
          <w:noProof w:val="0"/>
          <w:color w:val="1F497D" w:themeColor="text2"/>
          <w:sz w:val="24"/>
          <w:szCs w:val="24"/>
        </w:rPr>
        <w:lastRenderedPageBreak/>
        <w:t>revenue and expenses will not be matched (initial payment received in FY14, majority of expenses in FY15).</w:t>
      </w:r>
    </w:p>
    <w:p w14:paraId="2E9AC62B" w14:textId="77777777" w:rsidR="00F67320" w:rsidRDefault="00F67320" w:rsidP="002211DC">
      <w:pPr>
        <w:pStyle w:val="ListParagraph"/>
        <w:rPr>
          <w:rFonts w:ascii="Arial" w:hAnsi="Arial" w:cs="Arial"/>
          <w:color w:val="1F497D" w:themeColor="text2"/>
          <w:sz w:val="24"/>
          <w:szCs w:val="24"/>
        </w:rPr>
      </w:pPr>
    </w:p>
    <w:p w14:paraId="02B12383" w14:textId="77777777" w:rsidR="00F67320" w:rsidRPr="00EC5D6B" w:rsidRDefault="00F67320" w:rsidP="00F67320">
      <w:pPr>
        <w:pStyle w:val="Informal1"/>
        <w:numPr>
          <w:ilvl w:val="0"/>
          <w:numId w:val="7"/>
        </w:numPr>
        <w:tabs>
          <w:tab w:val="right" w:pos="5472"/>
        </w:tabs>
        <w:rPr>
          <w:rFonts w:ascii="Arial" w:hAnsi="Arial" w:cs="Arial"/>
          <w:b/>
          <w:noProof w:val="0"/>
          <w:color w:val="1F497D" w:themeColor="text2"/>
          <w:sz w:val="24"/>
          <w:szCs w:val="24"/>
        </w:rPr>
      </w:pPr>
      <w:r>
        <w:rPr>
          <w:rFonts w:ascii="Arial" w:hAnsi="Arial" w:cs="Arial"/>
          <w:b/>
          <w:noProof w:val="0"/>
          <w:color w:val="1F497D" w:themeColor="text2"/>
          <w:sz w:val="24"/>
          <w:szCs w:val="24"/>
        </w:rPr>
        <w:t xml:space="preserve">Subcontract: </w:t>
      </w:r>
      <w:r>
        <w:rPr>
          <w:rFonts w:ascii="Arial" w:hAnsi="Arial" w:cs="Arial"/>
          <w:noProof w:val="0"/>
          <w:color w:val="1F497D" w:themeColor="text2"/>
          <w:sz w:val="24"/>
          <w:szCs w:val="24"/>
        </w:rPr>
        <w:t>The subrecipient has responsibility for adherence to applicable federal program compliance requirements while providing goods and services for the grant or program of the pass through entity.</w:t>
      </w:r>
    </w:p>
    <w:p w14:paraId="2B80A6E7" w14:textId="77777777" w:rsidR="00EC5D6B" w:rsidRPr="00F67320" w:rsidRDefault="00EC5D6B" w:rsidP="00EC5D6B">
      <w:pPr>
        <w:pStyle w:val="Informal1"/>
        <w:tabs>
          <w:tab w:val="right" w:pos="5472"/>
        </w:tabs>
        <w:rPr>
          <w:rFonts w:ascii="Arial" w:hAnsi="Arial" w:cs="Arial"/>
          <w:b/>
          <w:noProof w:val="0"/>
          <w:color w:val="1F497D" w:themeColor="text2"/>
          <w:sz w:val="24"/>
          <w:szCs w:val="24"/>
        </w:rPr>
      </w:pPr>
    </w:p>
    <w:p w14:paraId="735C0033" w14:textId="77777777" w:rsidR="00EC5D6B" w:rsidRPr="00480DA5" w:rsidRDefault="00EC5D6B" w:rsidP="00EC5D6B">
      <w:pPr>
        <w:pStyle w:val="Informal1"/>
        <w:numPr>
          <w:ilvl w:val="0"/>
          <w:numId w:val="7"/>
        </w:numPr>
        <w:tabs>
          <w:tab w:val="right" w:pos="5472"/>
        </w:tabs>
        <w:rPr>
          <w:rFonts w:ascii="Arial" w:hAnsi="Arial" w:cs="Arial"/>
          <w:b/>
          <w:noProof w:val="0"/>
          <w:color w:val="1F497D" w:themeColor="text2"/>
          <w:sz w:val="24"/>
          <w:szCs w:val="24"/>
        </w:rPr>
      </w:pPr>
      <w:r>
        <w:rPr>
          <w:rFonts w:ascii="Arial" w:hAnsi="Arial" w:cs="Arial"/>
          <w:b/>
          <w:noProof w:val="0"/>
          <w:color w:val="1F497D" w:themeColor="text2"/>
          <w:sz w:val="24"/>
          <w:szCs w:val="24"/>
        </w:rPr>
        <w:t>Subrecipient:</w:t>
      </w:r>
      <w:r w:rsidRPr="005552B5">
        <w:rPr>
          <w:rFonts w:ascii="Arial" w:hAnsi="Arial" w:cs="Arial"/>
          <w:b/>
          <w:noProof w:val="0"/>
          <w:color w:val="1F497D" w:themeColor="text2"/>
          <w:sz w:val="24"/>
          <w:szCs w:val="24"/>
        </w:rPr>
        <w:t xml:space="preserve">  </w:t>
      </w:r>
      <w:r w:rsidRPr="005552B5">
        <w:rPr>
          <w:rFonts w:ascii="Arial" w:hAnsi="Arial" w:cs="Arial"/>
          <w:noProof w:val="0"/>
          <w:color w:val="1F497D" w:themeColor="text2"/>
          <w:sz w:val="24"/>
          <w:szCs w:val="24"/>
        </w:rPr>
        <w:t>A subrecipient relationship exists when funding from a pass-through entity is provided to perform a portion of the scope of work or objectives of the pass-through entity’s award agreement with the Federal awarding agency.  A subrecipient performs part of the project activities.</w:t>
      </w:r>
      <w:r w:rsidRPr="005552B5">
        <w:rPr>
          <w:rFonts w:ascii="Arial" w:hAnsi="Arial" w:cs="Arial"/>
          <w:b/>
          <w:noProof w:val="0"/>
          <w:color w:val="1F497D" w:themeColor="text2"/>
          <w:sz w:val="24"/>
          <w:szCs w:val="24"/>
        </w:rPr>
        <w:t xml:space="preserve">  </w:t>
      </w:r>
      <w:r>
        <w:rPr>
          <w:rFonts w:ascii="Arial" w:hAnsi="Arial" w:cs="Arial"/>
          <w:noProof w:val="0"/>
          <w:color w:val="1F497D" w:themeColor="text2"/>
          <w:sz w:val="24"/>
          <w:szCs w:val="24"/>
        </w:rPr>
        <w:t>The subrecipient has responsibility for adherence to applicable federal program compliance requirements while providing goods and services for the grant or program of the pass through entity.</w:t>
      </w:r>
    </w:p>
    <w:p w14:paraId="040133C7" w14:textId="77777777" w:rsidR="00EC5D6B" w:rsidRPr="00EC5D6B" w:rsidRDefault="00EC5D6B" w:rsidP="00EC5D6B">
      <w:pPr>
        <w:pStyle w:val="ListParagraph"/>
        <w:rPr>
          <w:rFonts w:ascii="Verdana" w:hAnsi="Verdana"/>
          <w:lang w:val="en"/>
        </w:rPr>
      </w:pPr>
    </w:p>
    <w:p w14:paraId="0A60D549" w14:textId="77777777" w:rsidR="00EC5D6B" w:rsidRPr="00773225" w:rsidRDefault="006C0BDD" w:rsidP="00EC5D6B">
      <w:pPr>
        <w:pStyle w:val="ListParagraph"/>
        <w:numPr>
          <w:ilvl w:val="0"/>
          <w:numId w:val="7"/>
        </w:numPr>
        <w:rPr>
          <w:rFonts w:ascii="Verdana" w:hAnsi="Verdana"/>
          <w:lang w:val="en"/>
        </w:rPr>
      </w:pPr>
      <w:hyperlink r:id="rId34" w:anchor="Supplies" w:history="1">
        <w:r w:rsidR="00EC5D6B" w:rsidRPr="00773225">
          <w:rPr>
            <w:rStyle w:val="Hyperlink"/>
            <w:rFonts w:ascii="Arial" w:hAnsi="Arial" w:cs="Arial"/>
            <w:b/>
            <w:bCs/>
            <w:color w:val="1F497D" w:themeColor="text2"/>
            <w:sz w:val="24"/>
            <w:szCs w:val="24"/>
            <w:u w:val="none"/>
            <w:lang w:val="en"/>
          </w:rPr>
          <w:t>Supplies</w:t>
        </w:r>
      </w:hyperlink>
      <w:r w:rsidR="00EC5D6B" w:rsidRPr="00773225">
        <w:rPr>
          <w:rStyle w:val="Strong"/>
          <w:rFonts w:ascii="Arial" w:hAnsi="Arial" w:cs="Arial"/>
          <w:color w:val="1F497D" w:themeColor="text2"/>
          <w:sz w:val="24"/>
          <w:szCs w:val="24"/>
          <w:lang w:val="en"/>
        </w:rPr>
        <w:t xml:space="preserve">: </w:t>
      </w:r>
      <w:r w:rsidR="00EC5D6B" w:rsidRPr="00773225">
        <w:rPr>
          <w:rFonts w:ascii="Arial" w:hAnsi="Arial" w:cs="Arial"/>
          <w:color w:val="1F497D" w:themeColor="text2"/>
          <w:sz w:val="24"/>
          <w:szCs w:val="24"/>
          <w:lang w:val="en"/>
        </w:rPr>
        <w:t>All tangible personal property other than those described in Equipment. A computing device is a supply if the acquisition cost is less than the lesser of the capitalization level established by the non-Federal entity for financial statement purposes or $5,000, regardless of the length of its useful life</w:t>
      </w:r>
      <w:r w:rsidR="00EC5D6B">
        <w:rPr>
          <w:rFonts w:ascii="Verdana" w:hAnsi="Verdana"/>
          <w:lang w:val="en"/>
        </w:rPr>
        <w:t>.</w:t>
      </w:r>
    </w:p>
    <w:p w14:paraId="60ABFB6E" w14:textId="77777777" w:rsidR="00F67320" w:rsidRPr="00480DA5" w:rsidRDefault="00F67320" w:rsidP="002211DC">
      <w:pPr>
        <w:pStyle w:val="Informal1"/>
        <w:tabs>
          <w:tab w:val="right" w:pos="5472"/>
        </w:tabs>
        <w:rPr>
          <w:rFonts w:ascii="Arial" w:hAnsi="Arial" w:cs="Arial"/>
          <w:b/>
          <w:noProof w:val="0"/>
          <w:color w:val="1F497D" w:themeColor="text2"/>
          <w:sz w:val="24"/>
          <w:szCs w:val="24"/>
        </w:rPr>
      </w:pPr>
    </w:p>
    <w:p w14:paraId="40D99690" w14:textId="3FE309F1" w:rsidR="00F67320" w:rsidRPr="00836244" w:rsidRDefault="00F67320" w:rsidP="00F67320">
      <w:pPr>
        <w:pStyle w:val="Informal1"/>
        <w:numPr>
          <w:ilvl w:val="0"/>
          <w:numId w:val="7"/>
        </w:numPr>
        <w:tabs>
          <w:tab w:val="right" w:pos="5472"/>
        </w:tabs>
        <w:rPr>
          <w:rFonts w:ascii="Arial" w:hAnsi="Arial" w:cs="Arial"/>
          <w:color w:val="1F497D" w:themeColor="text2"/>
          <w:sz w:val="24"/>
          <w:szCs w:val="24"/>
        </w:rPr>
      </w:pPr>
      <w:r w:rsidRPr="00C93E25">
        <w:rPr>
          <w:rFonts w:ascii="Arial" w:hAnsi="Arial" w:cs="Arial"/>
          <w:b/>
          <w:noProof w:val="0"/>
          <w:color w:val="1F497D" w:themeColor="text2"/>
          <w:sz w:val="24"/>
          <w:szCs w:val="24"/>
        </w:rPr>
        <w:t>Time &amp; Effort</w:t>
      </w:r>
      <w:r>
        <w:rPr>
          <w:rFonts w:ascii="Arial" w:hAnsi="Arial" w:cs="Arial"/>
          <w:b/>
          <w:noProof w:val="0"/>
          <w:color w:val="1F497D" w:themeColor="text2"/>
          <w:sz w:val="24"/>
          <w:szCs w:val="24"/>
        </w:rPr>
        <w:t xml:space="preserve"> </w:t>
      </w:r>
      <w:r>
        <w:rPr>
          <w:rFonts w:ascii="Arial" w:hAnsi="Arial" w:cs="Arial"/>
          <w:color w:val="1F497D" w:themeColor="text2"/>
          <w:sz w:val="24"/>
          <w:szCs w:val="24"/>
        </w:rPr>
        <w:t>T</w:t>
      </w:r>
      <w:r w:rsidRPr="00836244">
        <w:rPr>
          <w:rFonts w:ascii="Arial" w:hAnsi="Arial" w:cs="Arial"/>
          <w:color w:val="1F497D" w:themeColor="text2"/>
          <w:sz w:val="24"/>
          <w:szCs w:val="24"/>
        </w:rPr>
        <w:t>he amount of time spent on a particular activity. It includes the time spent working on a sponsored project in which salary is directly charged or contributed (cost-shared effort).</w:t>
      </w:r>
      <w:r w:rsidRPr="00836244">
        <w:rPr>
          <w:rFonts w:ascii="Verdana" w:hAnsi="Verdana"/>
          <w:color w:val="1F497D" w:themeColor="text2"/>
          <w:sz w:val="22"/>
          <w:szCs w:val="22"/>
        </w:rPr>
        <w:t xml:space="preserve"> </w:t>
      </w:r>
      <w:r w:rsidRPr="00A31D29">
        <w:rPr>
          <w:rFonts w:ascii="Arial" w:hAnsi="Arial" w:cs="Arial"/>
          <w:color w:val="1F497D" w:themeColor="text2"/>
          <w:sz w:val="24"/>
          <w:szCs w:val="24"/>
        </w:rPr>
        <w:t xml:space="preserve">Effort reporting is the mandated method of certifying to the granting agencies that the effort charged or cost shared to each award has actually been completed. </w:t>
      </w:r>
      <w:r w:rsidRPr="00836244">
        <w:rPr>
          <w:rFonts w:ascii="Arial" w:hAnsi="Arial" w:cs="Arial"/>
          <w:color w:val="1F497D" w:themeColor="text2"/>
          <w:sz w:val="24"/>
          <w:szCs w:val="24"/>
        </w:rPr>
        <w:t>Effort is not just a verification of the salary or payroll distribution. Cost-shared or contributed effort must be included in effort reports.</w:t>
      </w:r>
    </w:p>
    <w:p w14:paraId="7671D67F" w14:textId="11C3FF45" w:rsidR="00ED0329" w:rsidRPr="00F87C42" w:rsidRDefault="00ED0329" w:rsidP="002671C4">
      <w:pPr>
        <w:pStyle w:val="Informal1"/>
        <w:tabs>
          <w:tab w:val="right" w:pos="5472"/>
        </w:tabs>
        <w:spacing w:before="0" w:after="0"/>
        <w:rPr>
          <w:rFonts w:ascii="Arial" w:hAnsi="Arial" w:cs="Arial"/>
          <w:noProof w:val="0"/>
          <w:color w:val="1F497D" w:themeColor="text2"/>
          <w:sz w:val="24"/>
          <w:szCs w:val="24"/>
        </w:rPr>
      </w:pPr>
    </w:p>
    <w:p w14:paraId="083EAB38" w14:textId="77777777" w:rsidR="00ED0329" w:rsidRPr="00F87C42" w:rsidRDefault="00ED0329" w:rsidP="00ED0329">
      <w:pPr>
        <w:pStyle w:val="Informal1"/>
        <w:numPr>
          <w:ilvl w:val="0"/>
          <w:numId w:val="7"/>
        </w:numPr>
        <w:tabs>
          <w:tab w:val="right" w:pos="5472"/>
        </w:tabs>
        <w:spacing w:before="0" w:after="0"/>
        <w:rPr>
          <w:rFonts w:ascii="Arial" w:hAnsi="Arial" w:cs="Arial"/>
          <w:b/>
          <w:color w:val="1F497D" w:themeColor="text2"/>
          <w:sz w:val="24"/>
          <w:szCs w:val="24"/>
        </w:rPr>
      </w:pPr>
      <w:r>
        <w:rPr>
          <w:rFonts w:ascii="Arial" w:hAnsi="Arial" w:cs="Arial"/>
          <w:b/>
          <w:noProof w:val="0"/>
          <w:color w:val="1F497D" w:themeColor="text2"/>
          <w:sz w:val="24"/>
          <w:szCs w:val="24"/>
        </w:rPr>
        <w:t>Year-to-date (YTD):</w:t>
      </w:r>
      <w:r w:rsidRPr="00380A49">
        <w:rPr>
          <w:rFonts w:ascii="Arial" w:hAnsi="Arial" w:cs="Arial"/>
          <w:noProof w:val="0"/>
          <w:color w:val="1F497D" w:themeColor="text2"/>
          <w:sz w:val="24"/>
          <w:szCs w:val="24"/>
        </w:rPr>
        <w:t xml:space="preserve"> </w:t>
      </w:r>
      <w:r>
        <w:rPr>
          <w:rFonts w:ascii="Arial" w:hAnsi="Arial" w:cs="Arial"/>
          <w:noProof w:val="0"/>
          <w:color w:val="1F497D" w:themeColor="text2"/>
          <w:sz w:val="24"/>
          <w:szCs w:val="24"/>
        </w:rPr>
        <w:t>Most</w:t>
      </w:r>
      <w:r w:rsidRPr="00F87C42">
        <w:rPr>
          <w:rFonts w:ascii="Arial" w:hAnsi="Arial" w:cs="Arial"/>
          <w:noProof w:val="0"/>
          <w:color w:val="1F497D" w:themeColor="text2"/>
          <w:sz w:val="24"/>
          <w:szCs w:val="24"/>
        </w:rPr>
        <w:t xml:space="preserve"> grants are awarded for periods greater than 1 year. Reporting year-to-date data for these grants can cause distorted reporting due to timing issues. </w:t>
      </w:r>
    </w:p>
    <w:p w14:paraId="673B382B" w14:textId="77777777" w:rsidR="00ED0329" w:rsidRPr="002211DC" w:rsidRDefault="00ED0329" w:rsidP="002211DC">
      <w:pPr>
        <w:pStyle w:val="ListParagraph"/>
        <w:rPr>
          <w:rFonts w:ascii="Arial" w:hAnsi="Arial"/>
          <w:b/>
          <w:color w:val="1F497D" w:themeColor="text2"/>
          <w:sz w:val="24"/>
        </w:rPr>
      </w:pPr>
    </w:p>
    <w:p w14:paraId="041396DC" w14:textId="1C19E209" w:rsidR="0028713C" w:rsidRDefault="0028713C" w:rsidP="00ED0329">
      <w:pPr>
        <w:pStyle w:val="Informal1"/>
        <w:tabs>
          <w:tab w:val="right" w:pos="5472"/>
        </w:tabs>
        <w:spacing w:before="0" w:after="0"/>
        <w:rPr>
          <w:rFonts w:ascii="Arial" w:hAnsi="Arial" w:cs="Arial"/>
          <w:b/>
          <w:noProof w:val="0"/>
          <w:color w:val="1F497D" w:themeColor="text2"/>
          <w:sz w:val="24"/>
          <w:szCs w:val="24"/>
        </w:rPr>
      </w:pPr>
    </w:p>
    <w:p w14:paraId="7E8F29C5" w14:textId="77777777" w:rsidR="004959A0" w:rsidRDefault="004959A0" w:rsidP="0028713C">
      <w:pPr>
        <w:pStyle w:val="Informal1"/>
        <w:tabs>
          <w:tab w:val="right" w:pos="5472"/>
        </w:tabs>
        <w:spacing w:before="0" w:after="0"/>
        <w:rPr>
          <w:rFonts w:ascii="Arial" w:hAnsi="Arial" w:cs="Arial"/>
          <w:b/>
          <w:noProof w:val="0"/>
          <w:color w:val="1F497D" w:themeColor="text2"/>
          <w:sz w:val="24"/>
          <w:szCs w:val="24"/>
        </w:rPr>
      </w:pPr>
    </w:p>
    <w:p w14:paraId="55425F14" w14:textId="77777777" w:rsidR="00D111DA" w:rsidRDefault="0096384E" w:rsidP="001A3AF6">
      <w:pPr>
        <w:pStyle w:val="Informal1"/>
        <w:spacing w:before="0" w:after="0"/>
        <w:ind w:right="144"/>
      </w:pPr>
      <w:r>
        <w:rPr>
          <w:rFonts w:ascii="Arial" w:hAnsi="Arial"/>
          <w:b/>
          <w:noProof w:val="0"/>
          <w:sz w:val="24"/>
        </w:rPr>
        <w:t xml:space="preserve">                                                                                           </w:t>
      </w:r>
    </w:p>
    <w:sectPr w:rsidR="00D111DA">
      <w:footerReference w:type="defaul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46149F" w14:textId="77777777" w:rsidR="006C0BDD" w:rsidRDefault="006C0BDD" w:rsidP="006C0BDD">
      <w:r>
        <w:separator/>
      </w:r>
    </w:p>
  </w:endnote>
  <w:endnote w:type="continuationSeparator" w:id="0">
    <w:p w14:paraId="30293A84" w14:textId="77777777" w:rsidR="006C0BDD" w:rsidRDefault="006C0BDD" w:rsidP="006C0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521648"/>
      <w:docPartObj>
        <w:docPartGallery w:val="Page Numbers (Bottom of Page)"/>
        <w:docPartUnique/>
      </w:docPartObj>
    </w:sdtPr>
    <w:sdtEndPr>
      <w:rPr>
        <w:color w:val="7F7F7F" w:themeColor="background1" w:themeShade="7F"/>
        <w:spacing w:val="60"/>
      </w:rPr>
    </w:sdtEndPr>
    <w:sdtContent>
      <w:p w14:paraId="278C7AB6" w14:textId="323EC968" w:rsidR="006C0BDD" w:rsidRDefault="006C0BDD">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1</w:t>
        </w:r>
        <w:r>
          <w:rPr>
            <w:noProof/>
          </w:rPr>
          <w:fldChar w:fldCharType="end"/>
        </w:r>
        <w:r>
          <w:t xml:space="preserve"> | </w:t>
        </w:r>
        <w:r>
          <w:rPr>
            <w:color w:val="7F7F7F" w:themeColor="background1" w:themeShade="7F"/>
            <w:spacing w:val="60"/>
          </w:rPr>
          <w:t>Page</w:t>
        </w:r>
      </w:p>
    </w:sdtContent>
  </w:sdt>
  <w:p w14:paraId="0BE2970D" w14:textId="77777777" w:rsidR="006C0BDD" w:rsidRDefault="006C0B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5718FC" w14:textId="77777777" w:rsidR="006C0BDD" w:rsidRDefault="006C0BDD" w:rsidP="006C0BDD">
      <w:r>
        <w:separator/>
      </w:r>
    </w:p>
  </w:footnote>
  <w:footnote w:type="continuationSeparator" w:id="0">
    <w:p w14:paraId="499523C0" w14:textId="77777777" w:rsidR="006C0BDD" w:rsidRDefault="006C0BDD" w:rsidP="006C0B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472865"/>
    <w:multiLevelType w:val="hybridMultilevel"/>
    <w:tmpl w:val="CD42D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360461"/>
    <w:multiLevelType w:val="hybridMultilevel"/>
    <w:tmpl w:val="0D024C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1849C1"/>
    <w:multiLevelType w:val="hybridMultilevel"/>
    <w:tmpl w:val="ADAAE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9E1D46"/>
    <w:multiLevelType w:val="hybridMultilevel"/>
    <w:tmpl w:val="7F985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501BDB"/>
    <w:multiLevelType w:val="hybridMultilevel"/>
    <w:tmpl w:val="04A23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723F08"/>
    <w:multiLevelType w:val="hybridMultilevel"/>
    <w:tmpl w:val="C6764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D550B41"/>
    <w:multiLevelType w:val="multilevel"/>
    <w:tmpl w:val="EE76DFCC"/>
    <w:lvl w:ilvl="0">
      <w:start w:val="1"/>
      <w:numFmt w:val="decimal"/>
      <w:lvlText w:val="%1."/>
      <w:lvlJc w:val="left"/>
      <w:pPr>
        <w:tabs>
          <w:tab w:val="num" w:pos="1935"/>
        </w:tabs>
        <w:ind w:left="1935" w:hanging="360"/>
      </w:pPr>
    </w:lvl>
    <w:lvl w:ilvl="1" w:tentative="1">
      <w:start w:val="1"/>
      <w:numFmt w:val="decimal"/>
      <w:lvlText w:val="%2."/>
      <w:lvlJc w:val="left"/>
      <w:pPr>
        <w:tabs>
          <w:tab w:val="num" w:pos="2655"/>
        </w:tabs>
        <w:ind w:left="2655" w:hanging="360"/>
      </w:pPr>
    </w:lvl>
    <w:lvl w:ilvl="2" w:tentative="1">
      <w:start w:val="1"/>
      <w:numFmt w:val="decimal"/>
      <w:lvlText w:val="%3."/>
      <w:lvlJc w:val="left"/>
      <w:pPr>
        <w:tabs>
          <w:tab w:val="num" w:pos="3375"/>
        </w:tabs>
        <w:ind w:left="3375" w:hanging="360"/>
      </w:pPr>
    </w:lvl>
    <w:lvl w:ilvl="3" w:tentative="1">
      <w:start w:val="1"/>
      <w:numFmt w:val="decimal"/>
      <w:lvlText w:val="%4."/>
      <w:lvlJc w:val="left"/>
      <w:pPr>
        <w:tabs>
          <w:tab w:val="num" w:pos="4095"/>
        </w:tabs>
        <w:ind w:left="4095" w:hanging="360"/>
      </w:pPr>
    </w:lvl>
    <w:lvl w:ilvl="4" w:tentative="1">
      <w:start w:val="1"/>
      <w:numFmt w:val="decimal"/>
      <w:lvlText w:val="%5."/>
      <w:lvlJc w:val="left"/>
      <w:pPr>
        <w:tabs>
          <w:tab w:val="num" w:pos="4815"/>
        </w:tabs>
        <w:ind w:left="4815" w:hanging="360"/>
      </w:pPr>
    </w:lvl>
    <w:lvl w:ilvl="5" w:tentative="1">
      <w:start w:val="1"/>
      <w:numFmt w:val="decimal"/>
      <w:lvlText w:val="%6."/>
      <w:lvlJc w:val="left"/>
      <w:pPr>
        <w:tabs>
          <w:tab w:val="num" w:pos="5535"/>
        </w:tabs>
        <w:ind w:left="5535" w:hanging="360"/>
      </w:pPr>
    </w:lvl>
    <w:lvl w:ilvl="6" w:tentative="1">
      <w:start w:val="1"/>
      <w:numFmt w:val="decimal"/>
      <w:lvlText w:val="%7."/>
      <w:lvlJc w:val="left"/>
      <w:pPr>
        <w:tabs>
          <w:tab w:val="num" w:pos="6255"/>
        </w:tabs>
        <w:ind w:left="6255" w:hanging="360"/>
      </w:pPr>
    </w:lvl>
    <w:lvl w:ilvl="7" w:tentative="1">
      <w:start w:val="1"/>
      <w:numFmt w:val="decimal"/>
      <w:lvlText w:val="%8."/>
      <w:lvlJc w:val="left"/>
      <w:pPr>
        <w:tabs>
          <w:tab w:val="num" w:pos="6975"/>
        </w:tabs>
        <w:ind w:left="6975" w:hanging="360"/>
      </w:pPr>
    </w:lvl>
    <w:lvl w:ilvl="8" w:tentative="1">
      <w:start w:val="1"/>
      <w:numFmt w:val="decimal"/>
      <w:lvlText w:val="%9."/>
      <w:lvlJc w:val="left"/>
      <w:pPr>
        <w:tabs>
          <w:tab w:val="num" w:pos="7695"/>
        </w:tabs>
        <w:ind w:left="7695" w:hanging="360"/>
      </w:pPr>
    </w:lvl>
  </w:abstractNum>
  <w:abstractNum w:abstractNumId="7">
    <w:nsid w:val="5B8C4537"/>
    <w:multiLevelType w:val="hybridMultilevel"/>
    <w:tmpl w:val="244AA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556365E"/>
    <w:multiLevelType w:val="hybridMultilevel"/>
    <w:tmpl w:val="38602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F791631"/>
    <w:multiLevelType w:val="multilevel"/>
    <w:tmpl w:val="1C52B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5"/>
  </w:num>
  <w:num w:numId="4">
    <w:abstractNumId w:val="8"/>
  </w:num>
  <w:num w:numId="5">
    <w:abstractNumId w:val="3"/>
  </w:num>
  <w:num w:numId="6">
    <w:abstractNumId w:val="7"/>
  </w:num>
  <w:num w:numId="7">
    <w:abstractNumId w:val="1"/>
  </w:num>
  <w:num w:numId="8">
    <w:abstractNumId w:val="9"/>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84E"/>
    <w:rsid w:val="00011862"/>
    <w:rsid w:val="00047C60"/>
    <w:rsid w:val="000A23D0"/>
    <w:rsid w:val="000B37D8"/>
    <w:rsid w:val="00112AD5"/>
    <w:rsid w:val="00130895"/>
    <w:rsid w:val="001A3AF6"/>
    <w:rsid w:val="001C1D77"/>
    <w:rsid w:val="001E4909"/>
    <w:rsid w:val="001F3475"/>
    <w:rsid w:val="002038E8"/>
    <w:rsid w:val="002158B9"/>
    <w:rsid w:val="002211DC"/>
    <w:rsid w:val="002671C4"/>
    <w:rsid w:val="0028713C"/>
    <w:rsid w:val="002E50FC"/>
    <w:rsid w:val="003157DF"/>
    <w:rsid w:val="00341D8A"/>
    <w:rsid w:val="0034521B"/>
    <w:rsid w:val="00356BF3"/>
    <w:rsid w:val="00380A49"/>
    <w:rsid w:val="003A5082"/>
    <w:rsid w:val="003C4C02"/>
    <w:rsid w:val="003D0B8B"/>
    <w:rsid w:val="0042769F"/>
    <w:rsid w:val="00435B99"/>
    <w:rsid w:val="00480DA5"/>
    <w:rsid w:val="004959A0"/>
    <w:rsid w:val="005017D1"/>
    <w:rsid w:val="00516604"/>
    <w:rsid w:val="005552B5"/>
    <w:rsid w:val="0057233F"/>
    <w:rsid w:val="00592C08"/>
    <w:rsid w:val="005946F8"/>
    <w:rsid w:val="005A60BF"/>
    <w:rsid w:val="005B5CDD"/>
    <w:rsid w:val="005D434B"/>
    <w:rsid w:val="006370CF"/>
    <w:rsid w:val="00690308"/>
    <w:rsid w:val="006C0BDD"/>
    <w:rsid w:val="006D6881"/>
    <w:rsid w:val="006F4ECE"/>
    <w:rsid w:val="0075251E"/>
    <w:rsid w:val="00764205"/>
    <w:rsid w:val="00773225"/>
    <w:rsid w:val="007C5B35"/>
    <w:rsid w:val="00801669"/>
    <w:rsid w:val="00810D0E"/>
    <w:rsid w:val="00836244"/>
    <w:rsid w:val="00873FA7"/>
    <w:rsid w:val="008810FD"/>
    <w:rsid w:val="00884468"/>
    <w:rsid w:val="008905BA"/>
    <w:rsid w:val="0096384E"/>
    <w:rsid w:val="00A01056"/>
    <w:rsid w:val="00A319A5"/>
    <w:rsid w:val="00A31D29"/>
    <w:rsid w:val="00A411B1"/>
    <w:rsid w:val="00A74AAE"/>
    <w:rsid w:val="00B01F68"/>
    <w:rsid w:val="00B03833"/>
    <w:rsid w:val="00B26D8F"/>
    <w:rsid w:val="00B54D7B"/>
    <w:rsid w:val="00B832A6"/>
    <w:rsid w:val="00BD22B2"/>
    <w:rsid w:val="00C75ABE"/>
    <w:rsid w:val="00C854CB"/>
    <w:rsid w:val="00D142E2"/>
    <w:rsid w:val="00D42BE6"/>
    <w:rsid w:val="00D605AA"/>
    <w:rsid w:val="00E67595"/>
    <w:rsid w:val="00E77F27"/>
    <w:rsid w:val="00EC5D6B"/>
    <w:rsid w:val="00ED0329"/>
    <w:rsid w:val="00F206D3"/>
    <w:rsid w:val="00F372D7"/>
    <w:rsid w:val="00F37BFC"/>
    <w:rsid w:val="00F4454F"/>
    <w:rsid w:val="00F54489"/>
    <w:rsid w:val="00F67320"/>
    <w:rsid w:val="00F76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C5CA5"/>
  <w15:docId w15:val="{75DAC0EB-980F-46B9-BB57-2322881D0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384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formal1">
    <w:name w:val="Informal1"/>
    <w:rsid w:val="0096384E"/>
    <w:pPr>
      <w:spacing w:before="60" w:after="60" w:line="240" w:lineRule="auto"/>
    </w:pPr>
    <w:rPr>
      <w:rFonts w:ascii="Times New Roman" w:eastAsia="Times New Roman" w:hAnsi="Times New Roman" w:cs="Times New Roman"/>
      <w:noProof/>
      <w:sz w:val="20"/>
      <w:szCs w:val="20"/>
    </w:rPr>
  </w:style>
  <w:style w:type="character" w:styleId="Hyperlink">
    <w:name w:val="Hyperlink"/>
    <w:basedOn w:val="DefaultParagraphFont"/>
    <w:rsid w:val="0096384E"/>
    <w:rPr>
      <w:color w:val="0000FF" w:themeColor="hyperlink"/>
      <w:u w:val="single"/>
    </w:rPr>
  </w:style>
  <w:style w:type="character" w:styleId="CommentReference">
    <w:name w:val="annotation reference"/>
    <w:basedOn w:val="DefaultParagraphFont"/>
    <w:uiPriority w:val="99"/>
    <w:semiHidden/>
    <w:unhideWhenUsed/>
    <w:rsid w:val="0028713C"/>
    <w:rPr>
      <w:sz w:val="16"/>
      <w:szCs w:val="16"/>
    </w:rPr>
  </w:style>
  <w:style w:type="paragraph" w:styleId="CommentText">
    <w:name w:val="annotation text"/>
    <w:basedOn w:val="Normal"/>
    <w:link w:val="CommentTextChar"/>
    <w:uiPriority w:val="99"/>
    <w:semiHidden/>
    <w:unhideWhenUsed/>
    <w:rsid w:val="0028713C"/>
  </w:style>
  <w:style w:type="character" w:customStyle="1" w:styleId="CommentTextChar">
    <w:name w:val="Comment Text Char"/>
    <w:basedOn w:val="DefaultParagraphFont"/>
    <w:link w:val="CommentText"/>
    <w:uiPriority w:val="99"/>
    <w:semiHidden/>
    <w:rsid w:val="0028713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8713C"/>
    <w:rPr>
      <w:b/>
      <w:bCs/>
    </w:rPr>
  </w:style>
  <w:style w:type="character" w:customStyle="1" w:styleId="CommentSubjectChar">
    <w:name w:val="Comment Subject Char"/>
    <w:basedOn w:val="CommentTextChar"/>
    <w:link w:val="CommentSubject"/>
    <w:uiPriority w:val="99"/>
    <w:semiHidden/>
    <w:rsid w:val="0028713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8713C"/>
    <w:rPr>
      <w:rFonts w:ascii="Tahoma" w:hAnsi="Tahoma" w:cs="Tahoma"/>
      <w:sz w:val="16"/>
      <w:szCs w:val="16"/>
    </w:rPr>
  </w:style>
  <w:style w:type="character" w:customStyle="1" w:styleId="BalloonTextChar">
    <w:name w:val="Balloon Text Char"/>
    <w:basedOn w:val="DefaultParagraphFont"/>
    <w:link w:val="BalloonText"/>
    <w:uiPriority w:val="99"/>
    <w:semiHidden/>
    <w:rsid w:val="0028713C"/>
    <w:rPr>
      <w:rFonts w:ascii="Tahoma" w:eastAsia="Times New Roman" w:hAnsi="Tahoma" w:cs="Tahoma"/>
      <w:sz w:val="16"/>
      <w:szCs w:val="16"/>
    </w:rPr>
  </w:style>
  <w:style w:type="paragraph" w:styleId="ListParagraph">
    <w:name w:val="List Paragraph"/>
    <w:basedOn w:val="Normal"/>
    <w:uiPriority w:val="34"/>
    <w:qFormat/>
    <w:rsid w:val="003D0B8B"/>
    <w:pPr>
      <w:ind w:left="720"/>
      <w:contextualSpacing/>
    </w:pPr>
  </w:style>
  <w:style w:type="paragraph" w:styleId="Revision">
    <w:name w:val="Revision"/>
    <w:hidden/>
    <w:uiPriority w:val="99"/>
    <w:semiHidden/>
    <w:rsid w:val="00BD22B2"/>
    <w:pPr>
      <w:spacing w:after="0" w:line="240" w:lineRule="auto"/>
    </w:pPr>
    <w:rPr>
      <w:rFonts w:ascii="Times New Roman" w:eastAsia="Times New Roman" w:hAnsi="Times New Roman" w:cs="Times New Roman"/>
      <w:sz w:val="20"/>
      <w:szCs w:val="20"/>
    </w:rPr>
  </w:style>
  <w:style w:type="paragraph" w:styleId="NormalWeb">
    <w:name w:val="Normal (Web)"/>
    <w:basedOn w:val="Normal"/>
    <w:uiPriority w:val="99"/>
    <w:semiHidden/>
    <w:unhideWhenUsed/>
    <w:rsid w:val="00112AD5"/>
    <w:rPr>
      <w:sz w:val="24"/>
      <w:szCs w:val="24"/>
    </w:rPr>
  </w:style>
  <w:style w:type="character" w:styleId="Strong">
    <w:name w:val="Strong"/>
    <w:basedOn w:val="DefaultParagraphFont"/>
    <w:uiPriority w:val="22"/>
    <w:qFormat/>
    <w:rsid w:val="00130895"/>
    <w:rPr>
      <w:b/>
      <w:bCs/>
    </w:rPr>
  </w:style>
  <w:style w:type="character" w:styleId="FollowedHyperlink">
    <w:name w:val="FollowedHyperlink"/>
    <w:basedOn w:val="DefaultParagraphFont"/>
    <w:uiPriority w:val="99"/>
    <w:semiHidden/>
    <w:unhideWhenUsed/>
    <w:rsid w:val="00EC5D6B"/>
    <w:rPr>
      <w:color w:val="800080" w:themeColor="followedHyperlink"/>
      <w:u w:val="single"/>
    </w:rPr>
  </w:style>
  <w:style w:type="paragraph" w:styleId="Header">
    <w:name w:val="header"/>
    <w:basedOn w:val="Normal"/>
    <w:link w:val="HeaderChar"/>
    <w:uiPriority w:val="99"/>
    <w:unhideWhenUsed/>
    <w:rsid w:val="006C0BDD"/>
    <w:pPr>
      <w:tabs>
        <w:tab w:val="center" w:pos="4680"/>
        <w:tab w:val="right" w:pos="9360"/>
      </w:tabs>
    </w:pPr>
  </w:style>
  <w:style w:type="character" w:customStyle="1" w:styleId="HeaderChar">
    <w:name w:val="Header Char"/>
    <w:basedOn w:val="DefaultParagraphFont"/>
    <w:link w:val="Header"/>
    <w:uiPriority w:val="99"/>
    <w:rsid w:val="006C0BD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C0BDD"/>
    <w:pPr>
      <w:tabs>
        <w:tab w:val="center" w:pos="4680"/>
        <w:tab w:val="right" w:pos="9360"/>
      </w:tabs>
    </w:pPr>
  </w:style>
  <w:style w:type="character" w:customStyle="1" w:styleId="FooterChar">
    <w:name w:val="Footer Char"/>
    <w:basedOn w:val="DefaultParagraphFont"/>
    <w:link w:val="Footer"/>
    <w:uiPriority w:val="99"/>
    <w:rsid w:val="006C0BD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620">
      <w:bodyDiv w:val="1"/>
      <w:marLeft w:val="0"/>
      <w:marRight w:val="0"/>
      <w:marTop w:val="0"/>
      <w:marBottom w:val="0"/>
      <w:divBdr>
        <w:top w:val="none" w:sz="0" w:space="0" w:color="auto"/>
        <w:left w:val="none" w:sz="0" w:space="0" w:color="auto"/>
        <w:bottom w:val="none" w:sz="0" w:space="0" w:color="auto"/>
        <w:right w:val="none" w:sz="0" w:space="0" w:color="auto"/>
      </w:divBdr>
      <w:divsChild>
        <w:div w:id="2006399317">
          <w:marLeft w:val="0"/>
          <w:marRight w:val="0"/>
          <w:marTop w:val="0"/>
          <w:marBottom w:val="0"/>
          <w:divBdr>
            <w:top w:val="none" w:sz="0" w:space="0" w:color="auto"/>
            <w:left w:val="none" w:sz="0" w:space="0" w:color="auto"/>
            <w:bottom w:val="none" w:sz="0" w:space="0" w:color="auto"/>
            <w:right w:val="none" w:sz="0" w:space="0" w:color="auto"/>
          </w:divBdr>
          <w:divsChild>
            <w:div w:id="36246959">
              <w:marLeft w:val="-5775"/>
              <w:marRight w:val="-5775"/>
              <w:marTop w:val="0"/>
              <w:marBottom w:val="0"/>
              <w:divBdr>
                <w:top w:val="none" w:sz="0" w:space="0" w:color="auto"/>
                <w:left w:val="none" w:sz="0" w:space="0" w:color="auto"/>
                <w:bottom w:val="none" w:sz="0" w:space="0" w:color="auto"/>
                <w:right w:val="none" w:sz="0" w:space="0" w:color="auto"/>
              </w:divBdr>
              <w:divsChild>
                <w:div w:id="1508474455">
                  <w:marLeft w:val="0"/>
                  <w:marRight w:val="0"/>
                  <w:marTop w:val="0"/>
                  <w:marBottom w:val="0"/>
                  <w:divBdr>
                    <w:top w:val="none" w:sz="0" w:space="0" w:color="auto"/>
                    <w:left w:val="none" w:sz="0" w:space="0" w:color="auto"/>
                    <w:bottom w:val="none" w:sz="0" w:space="0" w:color="auto"/>
                    <w:right w:val="none" w:sz="0" w:space="0" w:color="auto"/>
                  </w:divBdr>
                  <w:divsChild>
                    <w:div w:id="1989358731">
                      <w:marLeft w:val="0"/>
                      <w:marRight w:val="0"/>
                      <w:marTop w:val="0"/>
                      <w:marBottom w:val="0"/>
                      <w:divBdr>
                        <w:top w:val="single" w:sz="2" w:space="0" w:color="CCCCCC"/>
                        <w:left w:val="single" w:sz="6" w:space="0" w:color="CCCCCC"/>
                        <w:bottom w:val="single" w:sz="6" w:space="0" w:color="CCCCCC"/>
                        <w:right w:val="single" w:sz="6" w:space="0" w:color="CCCCCC"/>
                      </w:divBdr>
                      <w:divsChild>
                        <w:div w:id="1134369763">
                          <w:marLeft w:val="0"/>
                          <w:marRight w:val="0"/>
                          <w:marTop w:val="0"/>
                          <w:marBottom w:val="0"/>
                          <w:divBdr>
                            <w:top w:val="none" w:sz="0" w:space="0" w:color="auto"/>
                            <w:left w:val="none" w:sz="0" w:space="0" w:color="auto"/>
                            <w:bottom w:val="none" w:sz="0" w:space="0" w:color="auto"/>
                            <w:right w:val="none" w:sz="0" w:space="0" w:color="auto"/>
                          </w:divBdr>
                          <w:divsChild>
                            <w:div w:id="1193153375">
                              <w:marLeft w:val="0"/>
                              <w:marRight w:val="0"/>
                              <w:marTop w:val="0"/>
                              <w:marBottom w:val="0"/>
                              <w:divBdr>
                                <w:top w:val="none" w:sz="0" w:space="0" w:color="auto"/>
                                <w:left w:val="none" w:sz="0" w:space="0" w:color="auto"/>
                                <w:bottom w:val="none" w:sz="0" w:space="0" w:color="auto"/>
                                <w:right w:val="none" w:sz="0" w:space="0" w:color="auto"/>
                              </w:divBdr>
                              <w:divsChild>
                                <w:div w:id="1035471551">
                                  <w:marLeft w:val="150"/>
                                  <w:marRight w:val="150"/>
                                  <w:marTop w:val="10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289932">
      <w:bodyDiv w:val="1"/>
      <w:marLeft w:val="0"/>
      <w:marRight w:val="0"/>
      <w:marTop w:val="0"/>
      <w:marBottom w:val="0"/>
      <w:divBdr>
        <w:top w:val="none" w:sz="0" w:space="0" w:color="auto"/>
        <w:left w:val="none" w:sz="0" w:space="0" w:color="auto"/>
        <w:bottom w:val="none" w:sz="0" w:space="0" w:color="auto"/>
        <w:right w:val="none" w:sz="0" w:space="0" w:color="auto"/>
      </w:divBdr>
      <w:divsChild>
        <w:div w:id="77874988">
          <w:marLeft w:val="0"/>
          <w:marRight w:val="0"/>
          <w:marTop w:val="0"/>
          <w:marBottom w:val="0"/>
          <w:divBdr>
            <w:top w:val="none" w:sz="0" w:space="0" w:color="auto"/>
            <w:left w:val="none" w:sz="0" w:space="0" w:color="auto"/>
            <w:bottom w:val="none" w:sz="0" w:space="0" w:color="auto"/>
            <w:right w:val="none" w:sz="0" w:space="0" w:color="auto"/>
          </w:divBdr>
          <w:divsChild>
            <w:div w:id="1458257464">
              <w:marLeft w:val="0"/>
              <w:marRight w:val="0"/>
              <w:marTop w:val="0"/>
              <w:marBottom w:val="0"/>
              <w:divBdr>
                <w:top w:val="none" w:sz="0" w:space="0" w:color="auto"/>
                <w:left w:val="none" w:sz="0" w:space="0" w:color="auto"/>
                <w:bottom w:val="none" w:sz="0" w:space="0" w:color="auto"/>
                <w:right w:val="none" w:sz="0" w:space="0" w:color="auto"/>
              </w:divBdr>
              <w:divsChild>
                <w:div w:id="175580969">
                  <w:marLeft w:val="0"/>
                  <w:marRight w:val="0"/>
                  <w:marTop w:val="0"/>
                  <w:marBottom w:val="0"/>
                  <w:divBdr>
                    <w:top w:val="none" w:sz="0" w:space="0" w:color="auto"/>
                    <w:left w:val="none" w:sz="0" w:space="0" w:color="auto"/>
                    <w:bottom w:val="none" w:sz="0" w:space="0" w:color="auto"/>
                    <w:right w:val="none" w:sz="0" w:space="0" w:color="auto"/>
                  </w:divBdr>
                  <w:divsChild>
                    <w:div w:id="1850560591">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27343">
      <w:bodyDiv w:val="1"/>
      <w:marLeft w:val="0"/>
      <w:marRight w:val="0"/>
      <w:marTop w:val="0"/>
      <w:marBottom w:val="0"/>
      <w:divBdr>
        <w:top w:val="none" w:sz="0" w:space="0" w:color="auto"/>
        <w:left w:val="none" w:sz="0" w:space="0" w:color="auto"/>
        <w:bottom w:val="none" w:sz="0" w:space="0" w:color="auto"/>
        <w:right w:val="none" w:sz="0" w:space="0" w:color="auto"/>
      </w:divBdr>
      <w:divsChild>
        <w:div w:id="1657109790">
          <w:marLeft w:val="0"/>
          <w:marRight w:val="0"/>
          <w:marTop w:val="0"/>
          <w:marBottom w:val="0"/>
          <w:divBdr>
            <w:top w:val="none" w:sz="0" w:space="0" w:color="auto"/>
            <w:left w:val="none" w:sz="0" w:space="0" w:color="auto"/>
            <w:bottom w:val="none" w:sz="0" w:space="0" w:color="auto"/>
            <w:right w:val="none" w:sz="0" w:space="0" w:color="auto"/>
          </w:divBdr>
        </w:div>
      </w:divsChild>
    </w:div>
    <w:div w:id="161895689">
      <w:bodyDiv w:val="1"/>
      <w:marLeft w:val="0"/>
      <w:marRight w:val="0"/>
      <w:marTop w:val="0"/>
      <w:marBottom w:val="0"/>
      <w:divBdr>
        <w:top w:val="none" w:sz="0" w:space="0" w:color="auto"/>
        <w:left w:val="none" w:sz="0" w:space="0" w:color="auto"/>
        <w:bottom w:val="none" w:sz="0" w:space="0" w:color="auto"/>
        <w:right w:val="none" w:sz="0" w:space="0" w:color="auto"/>
      </w:divBdr>
      <w:divsChild>
        <w:div w:id="987976590">
          <w:marLeft w:val="0"/>
          <w:marRight w:val="0"/>
          <w:marTop w:val="0"/>
          <w:marBottom w:val="0"/>
          <w:divBdr>
            <w:top w:val="none" w:sz="0" w:space="0" w:color="auto"/>
            <w:left w:val="none" w:sz="0" w:space="0" w:color="auto"/>
            <w:bottom w:val="none" w:sz="0" w:space="0" w:color="auto"/>
            <w:right w:val="none" w:sz="0" w:space="0" w:color="auto"/>
          </w:divBdr>
          <w:divsChild>
            <w:div w:id="468792462">
              <w:marLeft w:val="0"/>
              <w:marRight w:val="0"/>
              <w:marTop w:val="0"/>
              <w:marBottom w:val="0"/>
              <w:divBdr>
                <w:top w:val="none" w:sz="0" w:space="0" w:color="auto"/>
                <w:left w:val="none" w:sz="0" w:space="0" w:color="auto"/>
                <w:bottom w:val="none" w:sz="0" w:space="0" w:color="auto"/>
                <w:right w:val="none" w:sz="0" w:space="0" w:color="auto"/>
              </w:divBdr>
              <w:divsChild>
                <w:div w:id="2013951789">
                  <w:marLeft w:val="0"/>
                  <w:marRight w:val="0"/>
                  <w:marTop w:val="0"/>
                  <w:marBottom w:val="0"/>
                  <w:divBdr>
                    <w:top w:val="none" w:sz="0" w:space="0" w:color="auto"/>
                    <w:left w:val="none" w:sz="0" w:space="0" w:color="auto"/>
                    <w:bottom w:val="none" w:sz="0" w:space="0" w:color="auto"/>
                    <w:right w:val="none" w:sz="0" w:space="0" w:color="auto"/>
                  </w:divBdr>
                  <w:divsChild>
                    <w:div w:id="14944499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21294">
      <w:bodyDiv w:val="1"/>
      <w:marLeft w:val="0"/>
      <w:marRight w:val="0"/>
      <w:marTop w:val="0"/>
      <w:marBottom w:val="0"/>
      <w:divBdr>
        <w:top w:val="none" w:sz="0" w:space="0" w:color="auto"/>
        <w:left w:val="none" w:sz="0" w:space="0" w:color="auto"/>
        <w:bottom w:val="none" w:sz="0" w:space="0" w:color="auto"/>
        <w:right w:val="none" w:sz="0" w:space="0" w:color="auto"/>
      </w:divBdr>
      <w:divsChild>
        <w:div w:id="1265380832">
          <w:marLeft w:val="0"/>
          <w:marRight w:val="0"/>
          <w:marTop w:val="0"/>
          <w:marBottom w:val="0"/>
          <w:divBdr>
            <w:top w:val="none" w:sz="0" w:space="0" w:color="auto"/>
            <w:left w:val="none" w:sz="0" w:space="0" w:color="auto"/>
            <w:bottom w:val="none" w:sz="0" w:space="0" w:color="auto"/>
            <w:right w:val="none" w:sz="0" w:space="0" w:color="auto"/>
          </w:divBdr>
          <w:divsChild>
            <w:div w:id="1313751176">
              <w:marLeft w:val="-5775"/>
              <w:marRight w:val="-5775"/>
              <w:marTop w:val="0"/>
              <w:marBottom w:val="0"/>
              <w:divBdr>
                <w:top w:val="none" w:sz="0" w:space="0" w:color="auto"/>
                <w:left w:val="none" w:sz="0" w:space="0" w:color="auto"/>
                <w:bottom w:val="none" w:sz="0" w:space="0" w:color="auto"/>
                <w:right w:val="none" w:sz="0" w:space="0" w:color="auto"/>
              </w:divBdr>
              <w:divsChild>
                <w:div w:id="1867671811">
                  <w:marLeft w:val="0"/>
                  <w:marRight w:val="0"/>
                  <w:marTop w:val="0"/>
                  <w:marBottom w:val="0"/>
                  <w:divBdr>
                    <w:top w:val="none" w:sz="0" w:space="0" w:color="auto"/>
                    <w:left w:val="none" w:sz="0" w:space="0" w:color="auto"/>
                    <w:bottom w:val="none" w:sz="0" w:space="0" w:color="auto"/>
                    <w:right w:val="none" w:sz="0" w:space="0" w:color="auto"/>
                  </w:divBdr>
                  <w:divsChild>
                    <w:div w:id="763036552">
                      <w:marLeft w:val="0"/>
                      <w:marRight w:val="0"/>
                      <w:marTop w:val="0"/>
                      <w:marBottom w:val="0"/>
                      <w:divBdr>
                        <w:top w:val="single" w:sz="2" w:space="0" w:color="CCCCCC"/>
                        <w:left w:val="single" w:sz="6" w:space="0" w:color="CCCCCC"/>
                        <w:bottom w:val="single" w:sz="6" w:space="0" w:color="CCCCCC"/>
                        <w:right w:val="single" w:sz="6" w:space="0" w:color="CCCCCC"/>
                      </w:divBdr>
                      <w:divsChild>
                        <w:div w:id="141850834">
                          <w:marLeft w:val="0"/>
                          <w:marRight w:val="0"/>
                          <w:marTop w:val="0"/>
                          <w:marBottom w:val="0"/>
                          <w:divBdr>
                            <w:top w:val="none" w:sz="0" w:space="0" w:color="auto"/>
                            <w:left w:val="none" w:sz="0" w:space="0" w:color="auto"/>
                            <w:bottom w:val="none" w:sz="0" w:space="0" w:color="auto"/>
                            <w:right w:val="none" w:sz="0" w:space="0" w:color="auto"/>
                          </w:divBdr>
                          <w:divsChild>
                            <w:div w:id="1084686770">
                              <w:marLeft w:val="0"/>
                              <w:marRight w:val="0"/>
                              <w:marTop w:val="0"/>
                              <w:marBottom w:val="0"/>
                              <w:divBdr>
                                <w:top w:val="none" w:sz="0" w:space="0" w:color="auto"/>
                                <w:left w:val="none" w:sz="0" w:space="0" w:color="auto"/>
                                <w:bottom w:val="none" w:sz="0" w:space="0" w:color="auto"/>
                                <w:right w:val="none" w:sz="0" w:space="0" w:color="auto"/>
                              </w:divBdr>
                              <w:divsChild>
                                <w:div w:id="425737042">
                                  <w:marLeft w:val="150"/>
                                  <w:marRight w:val="150"/>
                                  <w:marTop w:val="10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6156517">
      <w:bodyDiv w:val="1"/>
      <w:marLeft w:val="0"/>
      <w:marRight w:val="0"/>
      <w:marTop w:val="0"/>
      <w:marBottom w:val="0"/>
      <w:divBdr>
        <w:top w:val="none" w:sz="0" w:space="0" w:color="auto"/>
        <w:left w:val="none" w:sz="0" w:space="0" w:color="auto"/>
        <w:bottom w:val="none" w:sz="0" w:space="0" w:color="auto"/>
        <w:right w:val="none" w:sz="0" w:space="0" w:color="auto"/>
      </w:divBdr>
      <w:divsChild>
        <w:div w:id="1886481679">
          <w:marLeft w:val="0"/>
          <w:marRight w:val="0"/>
          <w:marTop w:val="0"/>
          <w:marBottom w:val="0"/>
          <w:divBdr>
            <w:top w:val="none" w:sz="0" w:space="0" w:color="auto"/>
            <w:left w:val="none" w:sz="0" w:space="0" w:color="auto"/>
            <w:bottom w:val="none" w:sz="0" w:space="0" w:color="auto"/>
            <w:right w:val="none" w:sz="0" w:space="0" w:color="auto"/>
          </w:divBdr>
          <w:divsChild>
            <w:div w:id="2012678057">
              <w:marLeft w:val="0"/>
              <w:marRight w:val="0"/>
              <w:marTop w:val="0"/>
              <w:marBottom w:val="0"/>
              <w:divBdr>
                <w:top w:val="none" w:sz="0" w:space="0" w:color="auto"/>
                <w:left w:val="none" w:sz="0" w:space="0" w:color="auto"/>
                <w:bottom w:val="none" w:sz="0" w:space="0" w:color="auto"/>
                <w:right w:val="none" w:sz="0" w:space="0" w:color="auto"/>
              </w:divBdr>
              <w:divsChild>
                <w:div w:id="685639693">
                  <w:marLeft w:val="0"/>
                  <w:marRight w:val="0"/>
                  <w:marTop w:val="0"/>
                  <w:marBottom w:val="0"/>
                  <w:divBdr>
                    <w:top w:val="none" w:sz="0" w:space="0" w:color="auto"/>
                    <w:left w:val="none" w:sz="0" w:space="0" w:color="auto"/>
                    <w:bottom w:val="none" w:sz="0" w:space="0" w:color="auto"/>
                    <w:right w:val="none" w:sz="0" w:space="0" w:color="auto"/>
                  </w:divBdr>
                  <w:divsChild>
                    <w:div w:id="460148065">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571779">
      <w:bodyDiv w:val="1"/>
      <w:marLeft w:val="0"/>
      <w:marRight w:val="0"/>
      <w:marTop w:val="0"/>
      <w:marBottom w:val="0"/>
      <w:divBdr>
        <w:top w:val="none" w:sz="0" w:space="0" w:color="auto"/>
        <w:left w:val="none" w:sz="0" w:space="0" w:color="auto"/>
        <w:bottom w:val="none" w:sz="0" w:space="0" w:color="auto"/>
        <w:right w:val="none" w:sz="0" w:space="0" w:color="auto"/>
      </w:divBdr>
      <w:divsChild>
        <w:div w:id="769088652">
          <w:marLeft w:val="0"/>
          <w:marRight w:val="0"/>
          <w:marTop w:val="0"/>
          <w:marBottom w:val="0"/>
          <w:divBdr>
            <w:top w:val="none" w:sz="0" w:space="0" w:color="auto"/>
            <w:left w:val="none" w:sz="0" w:space="0" w:color="auto"/>
            <w:bottom w:val="none" w:sz="0" w:space="0" w:color="auto"/>
            <w:right w:val="none" w:sz="0" w:space="0" w:color="auto"/>
          </w:divBdr>
          <w:divsChild>
            <w:div w:id="1153067233">
              <w:marLeft w:val="0"/>
              <w:marRight w:val="0"/>
              <w:marTop w:val="0"/>
              <w:marBottom w:val="0"/>
              <w:divBdr>
                <w:top w:val="none" w:sz="0" w:space="0" w:color="auto"/>
                <w:left w:val="none" w:sz="0" w:space="0" w:color="auto"/>
                <w:bottom w:val="none" w:sz="0" w:space="0" w:color="auto"/>
                <w:right w:val="none" w:sz="0" w:space="0" w:color="auto"/>
              </w:divBdr>
              <w:divsChild>
                <w:div w:id="1049525532">
                  <w:marLeft w:val="0"/>
                  <w:marRight w:val="0"/>
                  <w:marTop w:val="0"/>
                  <w:marBottom w:val="0"/>
                  <w:divBdr>
                    <w:top w:val="none" w:sz="0" w:space="0" w:color="auto"/>
                    <w:left w:val="none" w:sz="0" w:space="0" w:color="auto"/>
                    <w:bottom w:val="none" w:sz="0" w:space="0" w:color="auto"/>
                    <w:right w:val="none" w:sz="0" w:space="0" w:color="auto"/>
                  </w:divBdr>
                  <w:divsChild>
                    <w:div w:id="1075203057">
                      <w:marLeft w:val="330"/>
                      <w:marRight w:val="0"/>
                      <w:marTop w:val="0"/>
                      <w:marBottom w:val="0"/>
                      <w:divBdr>
                        <w:top w:val="none" w:sz="0" w:space="0" w:color="auto"/>
                        <w:left w:val="none" w:sz="0" w:space="0" w:color="auto"/>
                        <w:bottom w:val="none" w:sz="0" w:space="0" w:color="auto"/>
                        <w:right w:val="none" w:sz="0" w:space="0" w:color="auto"/>
                      </w:divBdr>
                    </w:div>
                    <w:div w:id="1763067423">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148889">
      <w:bodyDiv w:val="1"/>
      <w:marLeft w:val="0"/>
      <w:marRight w:val="0"/>
      <w:marTop w:val="0"/>
      <w:marBottom w:val="0"/>
      <w:divBdr>
        <w:top w:val="none" w:sz="0" w:space="0" w:color="auto"/>
        <w:left w:val="none" w:sz="0" w:space="0" w:color="auto"/>
        <w:bottom w:val="none" w:sz="0" w:space="0" w:color="auto"/>
        <w:right w:val="none" w:sz="0" w:space="0" w:color="auto"/>
      </w:divBdr>
      <w:divsChild>
        <w:div w:id="355035270">
          <w:marLeft w:val="0"/>
          <w:marRight w:val="0"/>
          <w:marTop w:val="0"/>
          <w:marBottom w:val="0"/>
          <w:divBdr>
            <w:top w:val="none" w:sz="0" w:space="0" w:color="auto"/>
            <w:left w:val="none" w:sz="0" w:space="0" w:color="auto"/>
            <w:bottom w:val="none" w:sz="0" w:space="0" w:color="auto"/>
            <w:right w:val="none" w:sz="0" w:space="0" w:color="auto"/>
          </w:divBdr>
          <w:divsChild>
            <w:div w:id="1589608027">
              <w:marLeft w:val="0"/>
              <w:marRight w:val="0"/>
              <w:marTop w:val="0"/>
              <w:marBottom w:val="0"/>
              <w:divBdr>
                <w:top w:val="none" w:sz="0" w:space="0" w:color="auto"/>
                <w:left w:val="none" w:sz="0" w:space="0" w:color="auto"/>
                <w:bottom w:val="none" w:sz="0" w:space="0" w:color="auto"/>
                <w:right w:val="none" w:sz="0" w:space="0" w:color="auto"/>
              </w:divBdr>
              <w:divsChild>
                <w:div w:id="1537082851">
                  <w:marLeft w:val="0"/>
                  <w:marRight w:val="0"/>
                  <w:marTop w:val="0"/>
                  <w:marBottom w:val="0"/>
                  <w:divBdr>
                    <w:top w:val="none" w:sz="0" w:space="0" w:color="auto"/>
                    <w:left w:val="none" w:sz="0" w:space="0" w:color="auto"/>
                    <w:bottom w:val="none" w:sz="0" w:space="0" w:color="auto"/>
                    <w:right w:val="none" w:sz="0" w:space="0" w:color="auto"/>
                  </w:divBdr>
                  <w:divsChild>
                    <w:div w:id="430205682">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019353">
      <w:bodyDiv w:val="1"/>
      <w:marLeft w:val="0"/>
      <w:marRight w:val="0"/>
      <w:marTop w:val="0"/>
      <w:marBottom w:val="0"/>
      <w:divBdr>
        <w:top w:val="none" w:sz="0" w:space="0" w:color="auto"/>
        <w:left w:val="none" w:sz="0" w:space="0" w:color="auto"/>
        <w:bottom w:val="none" w:sz="0" w:space="0" w:color="auto"/>
        <w:right w:val="none" w:sz="0" w:space="0" w:color="auto"/>
      </w:divBdr>
      <w:divsChild>
        <w:div w:id="722028099">
          <w:marLeft w:val="0"/>
          <w:marRight w:val="0"/>
          <w:marTop w:val="0"/>
          <w:marBottom w:val="0"/>
          <w:divBdr>
            <w:top w:val="none" w:sz="0" w:space="0" w:color="auto"/>
            <w:left w:val="none" w:sz="0" w:space="0" w:color="auto"/>
            <w:bottom w:val="none" w:sz="0" w:space="0" w:color="auto"/>
            <w:right w:val="none" w:sz="0" w:space="0" w:color="auto"/>
          </w:divBdr>
        </w:div>
      </w:divsChild>
    </w:div>
    <w:div w:id="489638755">
      <w:bodyDiv w:val="1"/>
      <w:marLeft w:val="0"/>
      <w:marRight w:val="0"/>
      <w:marTop w:val="0"/>
      <w:marBottom w:val="0"/>
      <w:divBdr>
        <w:top w:val="none" w:sz="0" w:space="0" w:color="auto"/>
        <w:left w:val="none" w:sz="0" w:space="0" w:color="auto"/>
        <w:bottom w:val="none" w:sz="0" w:space="0" w:color="auto"/>
        <w:right w:val="none" w:sz="0" w:space="0" w:color="auto"/>
      </w:divBdr>
      <w:divsChild>
        <w:div w:id="620573340">
          <w:marLeft w:val="0"/>
          <w:marRight w:val="0"/>
          <w:marTop w:val="0"/>
          <w:marBottom w:val="0"/>
          <w:divBdr>
            <w:top w:val="none" w:sz="0" w:space="0" w:color="auto"/>
            <w:left w:val="none" w:sz="0" w:space="0" w:color="auto"/>
            <w:bottom w:val="none" w:sz="0" w:space="0" w:color="auto"/>
            <w:right w:val="none" w:sz="0" w:space="0" w:color="auto"/>
          </w:divBdr>
          <w:divsChild>
            <w:div w:id="790365068">
              <w:marLeft w:val="0"/>
              <w:marRight w:val="0"/>
              <w:marTop w:val="0"/>
              <w:marBottom w:val="0"/>
              <w:divBdr>
                <w:top w:val="none" w:sz="0" w:space="0" w:color="auto"/>
                <w:left w:val="none" w:sz="0" w:space="0" w:color="auto"/>
                <w:bottom w:val="none" w:sz="0" w:space="0" w:color="auto"/>
                <w:right w:val="none" w:sz="0" w:space="0" w:color="auto"/>
              </w:divBdr>
              <w:divsChild>
                <w:div w:id="1794522951">
                  <w:marLeft w:val="0"/>
                  <w:marRight w:val="0"/>
                  <w:marTop w:val="0"/>
                  <w:marBottom w:val="0"/>
                  <w:divBdr>
                    <w:top w:val="none" w:sz="0" w:space="0" w:color="auto"/>
                    <w:left w:val="none" w:sz="0" w:space="0" w:color="auto"/>
                    <w:bottom w:val="none" w:sz="0" w:space="0" w:color="auto"/>
                    <w:right w:val="none" w:sz="0" w:space="0" w:color="auto"/>
                  </w:divBdr>
                  <w:divsChild>
                    <w:div w:id="495922015">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645687">
      <w:bodyDiv w:val="1"/>
      <w:marLeft w:val="0"/>
      <w:marRight w:val="0"/>
      <w:marTop w:val="0"/>
      <w:marBottom w:val="0"/>
      <w:divBdr>
        <w:top w:val="none" w:sz="0" w:space="0" w:color="auto"/>
        <w:left w:val="none" w:sz="0" w:space="0" w:color="auto"/>
        <w:bottom w:val="none" w:sz="0" w:space="0" w:color="auto"/>
        <w:right w:val="none" w:sz="0" w:space="0" w:color="auto"/>
      </w:divBdr>
      <w:divsChild>
        <w:div w:id="1466895598">
          <w:marLeft w:val="0"/>
          <w:marRight w:val="0"/>
          <w:marTop w:val="0"/>
          <w:marBottom w:val="0"/>
          <w:divBdr>
            <w:top w:val="none" w:sz="0" w:space="0" w:color="auto"/>
            <w:left w:val="none" w:sz="0" w:space="0" w:color="auto"/>
            <w:bottom w:val="none" w:sz="0" w:space="0" w:color="auto"/>
            <w:right w:val="none" w:sz="0" w:space="0" w:color="auto"/>
          </w:divBdr>
          <w:divsChild>
            <w:div w:id="657802607">
              <w:marLeft w:val="0"/>
              <w:marRight w:val="0"/>
              <w:marTop w:val="0"/>
              <w:marBottom w:val="0"/>
              <w:divBdr>
                <w:top w:val="none" w:sz="0" w:space="0" w:color="auto"/>
                <w:left w:val="none" w:sz="0" w:space="0" w:color="auto"/>
                <w:bottom w:val="none" w:sz="0" w:space="0" w:color="auto"/>
                <w:right w:val="none" w:sz="0" w:space="0" w:color="auto"/>
              </w:divBdr>
              <w:divsChild>
                <w:div w:id="718865055">
                  <w:marLeft w:val="0"/>
                  <w:marRight w:val="0"/>
                  <w:marTop w:val="0"/>
                  <w:marBottom w:val="0"/>
                  <w:divBdr>
                    <w:top w:val="none" w:sz="0" w:space="0" w:color="auto"/>
                    <w:left w:val="none" w:sz="0" w:space="0" w:color="auto"/>
                    <w:bottom w:val="none" w:sz="0" w:space="0" w:color="auto"/>
                    <w:right w:val="none" w:sz="0" w:space="0" w:color="auto"/>
                  </w:divBdr>
                  <w:divsChild>
                    <w:div w:id="977301833">
                      <w:marLeft w:val="330"/>
                      <w:marRight w:val="0"/>
                      <w:marTop w:val="0"/>
                      <w:marBottom w:val="0"/>
                      <w:divBdr>
                        <w:top w:val="none" w:sz="0" w:space="0" w:color="auto"/>
                        <w:left w:val="none" w:sz="0" w:space="0" w:color="auto"/>
                        <w:bottom w:val="none" w:sz="0" w:space="0" w:color="auto"/>
                        <w:right w:val="none" w:sz="0" w:space="0" w:color="auto"/>
                      </w:divBdr>
                    </w:div>
                    <w:div w:id="1959725075">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886861">
      <w:bodyDiv w:val="1"/>
      <w:marLeft w:val="0"/>
      <w:marRight w:val="0"/>
      <w:marTop w:val="0"/>
      <w:marBottom w:val="0"/>
      <w:divBdr>
        <w:top w:val="none" w:sz="0" w:space="0" w:color="auto"/>
        <w:left w:val="none" w:sz="0" w:space="0" w:color="auto"/>
        <w:bottom w:val="none" w:sz="0" w:space="0" w:color="auto"/>
        <w:right w:val="none" w:sz="0" w:space="0" w:color="auto"/>
      </w:divBdr>
      <w:divsChild>
        <w:div w:id="662977471">
          <w:marLeft w:val="0"/>
          <w:marRight w:val="0"/>
          <w:marTop w:val="0"/>
          <w:marBottom w:val="0"/>
          <w:divBdr>
            <w:top w:val="none" w:sz="0" w:space="0" w:color="auto"/>
            <w:left w:val="none" w:sz="0" w:space="0" w:color="auto"/>
            <w:bottom w:val="none" w:sz="0" w:space="0" w:color="auto"/>
            <w:right w:val="none" w:sz="0" w:space="0" w:color="auto"/>
          </w:divBdr>
          <w:divsChild>
            <w:div w:id="162362137">
              <w:marLeft w:val="0"/>
              <w:marRight w:val="0"/>
              <w:marTop w:val="0"/>
              <w:marBottom w:val="0"/>
              <w:divBdr>
                <w:top w:val="none" w:sz="0" w:space="0" w:color="auto"/>
                <w:left w:val="none" w:sz="0" w:space="0" w:color="auto"/>
                <w:bottom w:val="none" w:sz="0" w:space="0" w:color="auto"/>
                <w:right w:val="none" w:sz="0" w:space="0" w:color="auto"/>
              </w:divBdr>
              <w:divsChild>
                <w:div w:id="770395695">
                  <w:marLeft w:val="0"/>
                  <w:marRight w:val="0"/>
                  <w:marTop w:val="0"/>
                  <w:marBottom w:val="0"/>
                  <w:divBdr>
                    <w:top w:val="none" w:sz="0" w:space="0" w:color="auto"/>
                    <w:left w:val="none" w:sz="0" w:space="0" w:color="auto"/>
                    <w:bottom w:val="none" w:sz="0" w:space="0" w:color="auto"/>
                    <w:right w:val="none" w:sz="0" w:space="0" w:color="auto"/>
                  </w:divBdr>
                  <w:divsChild>
                    <w:div w:id="230969761">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467195">
      <w:bodyDiv w:val="1"/>
      <w:marLeft w:val="0"/>
      <w:marRight w:val="0"/>
      <w:marTop w:val="0"/>
      <w:marBottom w:val="0"/>
      <w:divBdr>
        <w:top w:val="none" w:sz="0" w:space="0" w:color="auto"/>
        <w:left w:val="none" w:sz="0" w:space="0" w:color="auto"/>
        <w:bottom w:val="none" w:sz="0" w:space="0" w:color="auto"/>
        <w:right w:val="none" w:sz="0" w:space="0" w:color="auto"/>
      </w:divBdr>
      <w:divsChild>
        <w:div w:id="1577667100">
          <w:marLeft w:val="0"/>
          <w:marRight w:val="0"/>
          <w:marTop w:val="0"/>
          <w:marBottom w:val="0"/>
          <w:divBdr>
            <w:top w:val="none" w:sz="0" w:space="0" w:color="auto"/>
            <w:left w:val="none" w:sz="0" w:space="0" w:color="auto"/>
            <w:bottom w:val="none" w:sz="0" w:space="0" w:color="auto"/>
            <w:right w:val="none" w:sz="0" w:space="0" w:color="auto"/>
          </w:divBdr>
          <w:divsChild>
            <w:div w:id="1241334871">
              <w:marLeft w:val="0"/>
              <w:marRight w:val="0"/>
              <w:marTop w:val="0"/>
              <w:marBottom w:val="0"/>
              <w:divBdr>
                <w:top w:val="none" w:sz="0" w:space="0" w:color="auto"/>
                <w:left w:val="none" w:sz="0" w:space="0" w:color="auto"/>
                <w:bottom w:val="none" w:sz="0" w:space="0" w:color="auto"/>
                <w:right w:val="none" w:sz="0" w:space="0" w:color="auto"/>
              </w:divBdr>
              <w:divsChild>
                <w:div w:id="1864249176">
                  <w:marLeft w:val="0"/>
                  <w:marRight w:val="0"/>
                  <w:marTop w:val="0"/>
                  <w:marBottom w:val="0"/>
                  <w:divBdr>
                    <w:top w:val="none" w:sz="0" w:space="0" w:color="auto"/>
                    <w:left w:val="none" w:sz="0" w:space="0" w:color="auto"/>
                    <w:bottom w:val="none" w:sz="0" w:space="0" w:color="auto"/>
                    <w:right w:val="none" w:sz="0" w:space="0" w:color="auto"/>
                  </w:divBdr>
                  <w:divsChild>
                    <w:div w:id="1352609094">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210382">
      <w:bodyDiv w:val="1"/>
      <w:marLeft w:val="0"/>
      <w:marRight w:val="0"/>
      <w:marTop w:val="0"/>
      <w:marBottom w:val="0"/>
      <w:divBdr>
        <w:top w:val="none" w:sz="0" w:space="0" w:color="auto"/>
        <w:left w:val="none" w:sz="0" w:space="0" w:color="auto"/>
        <w:bottom w:val="none" w:sz="0" w:space="0" w:color="auto"/>
        <w:right w:val="none" w:sz="0" w:space="0" w:color="auto"/>
      </w:divBdr>
    </w:div>
    <w:div w:id="968314524">
      <w:bodyDiv w:val="1"/>
      <w:marLeft w:val="0"/>
      <w:marRight w:val="0"/>
      <w:marTop w:val="0"/>
      <w:marBottom w:val="0"/>
      <w:divBdr>
        <w:top w:val="none" w:sz="0" w:space="0" w:color="auto"/>
        <w:left w:val="none" w:sz="0" w:space="0" w:color="auto"/>
        <w:bottom w:val="none" w:sz="0" w:space="0" w:color="auto"/>
        <w:right w:val="none" w:sz="0" w:space="0" w:color="auto"/>
      </w:divBdr>
      <w:divsChild>
        <w:div w:id="240216810">
          <w:marLeft w:val="0"/>
          <w:marRight w:val="0"/>
          <w:marTop w:val="0"/>
          <w:marBottom w:val="0"/>
          <w:divBdr>
            <w:top w:val="none" w:sz="0" w:space="0" w:color="auto"/>
            <w:left w:val="none" w:sz="0" w:space="0" w:color="auto"/>
            <w:bottom w:val="none" w:sz="0" w:space="0" w:color="auto"/>
            <w:right w:val="none" w:sz="0" w:space="0" w:color="auto"/>
          </w:divBdr>
          <w:divsChild>
            <w:div w:id="1317757862">
              <w:marLeft w:val="0"/>
              <w:marRight w:val="0"/>
              <w:marTop w:val="0"/>
              <w:marBottom w:val="0"/>
              <w:divBdr>
                <w:top w:val="none" w:sz="0" w:space="0" w:color="auto"/>
                <w:left w:val="none" w:sz="0" w:space="0" w:color="auto"/>
                <w:bottom w:val="none" w:sz="0" w:space="0" w:color="auto"/>
                <w:right w:val="none" w:sz="0" w:space="0" w:color="auto"/>
              </w:divBdr>
              <w:divsChild>
                <w:div w:id="720515995">
                  <w:marLeft w:val="0"/>
                  <w:marRight w:val="0"/>
                  <w:marTop w:val="0"/>
                  <w:marBottom w:val="0"/>
                  <w:divBdr>
                    <w:top w:val="none" w:sz="0" w:space="0" w:color="auto"/>
                    <w:left w:val="none" w:sz="0" w:space="0" w:color="auto"/>
                    <w:bottom w:val="none" w:sz="0" w:space="0" w:color="auto"/>
                    <w:right w:val="none" w:sz="0" w:space="0" w:color="auto"/>
                  </w:divBdr>
                  <w:divsChild>
                    <w:div w:id="323973950">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068947">
      <w:bodyDiv w:val="1"/>
      <w:marLeft w:val="0"/>
      <w:marRight w:val="0"/>
      <w:marTop w:val="0"/>
      <w:marBottom w:val="0"/>
      <w:divBdr>
        <w:top w:val="none" w:sz="0" w:space="0" w:color="auto"/>
        <w:left w:val="none" w:sz="0" w:space="0" w:color="auto"/>
        <w:bottom w:val="none" w:sz="0" w:space="0" w:color="auto"/>
        <w:right w:val="none" w:sz="0" w:space="0" w:color="auto"/>
      </w:divBdr>
      <w:divsChild>
        <w:div w:id="2091386999">
          <w:marLeft w:val="0"/>
          <w:marRight w:val="0"/>
          <w:marTop w:val="0"/>
          <w:marBottom w:val="0"/>
          <w:divBdr>
            <w:top w:val="none" w:sz="0" w:space="0" w:color="auto"/>
            <w:left w:val="none" w:sz="0" w:space="0" w:color="auto"/>
            <w:bottom w:val="none" w:sz="0" w:space="0" w:color="auto"/>
            <w:right w:val="none" w:sz="0" w:space="0" w:color="auto"/>
          </w:divBdr>
          <w:divsChild>
            <w:div w:id="1020352568">
              <w:marLeft w:val="-5775"/>
              <w:marRight w:val="-5775"/>
              <w:marTop w:val="0"/>
              <w:marBottom w:val="0"/>
              <w:divBdr>
                <w:top w:val="none" w:sz="0" w:space="0" w:color="auto"/>
                <w:left w:val="none" w:sz="0" w:space="0" w:color="auto"/>
                <w:bottom w:val="none" w:sz="0" w:space="0" w:color="auto"/>
                <w:right w:val="none" w:sz="0" w:space="0" w:color="auto"/>
              </w:divBdr>
              <w:divsChild>
                <w:div w:id="301691246">
                  <w:marLeft w:val="0"/>
                  <w:marRight w:val="0"/>
                  <w:marTop w:val="0"/>
                  <w:marBottom w:val="0"/>
                  <w:divBdr>
                    <w:top w:val="none" w:sz="0" w:space="0" w:color="auto"/>
                    <w:left w:val="none" w:sz="0" w:space="0" w:color="auto"/>
                    <w:bottom w:val="none" w:sz="0" w:space="0" w:color="auto"/>
                    <w:right w:val="none" w:sz="0" w:space="0" w:color="auto"/>
                  </w:divBdr>
                  <w:divsChild>
                    <w:div w:id="398675026">
                      <w:marLeft w:val="0"/>
                      <w:marRight w:val="0"/>
                      <w:marTop w:val="0"/>
                      <w:marBottom w:val="0"/>
                      <w:divBdr>
                        <w:top w:val="single" w:sz="2" w:space="0" w:color="CCCCCC"/>
                        <w:left w:val="single" w:sz="6" w:space="0" w:color="CCCCCC"/>
                        <w:bottom w:val="single" w:sz="6" w:space="0" w:color="CCCCCC"/>
                        <w:right w:val="single" w:sz="6" w:space="0" w:color="CCCCCC"/>
                      </w:divBdr>
                      <w:divsChild>
                        <w:div w:id="1938172471">
                          <w:marLeft w:val="0"/>
                          <w:marRight w:val="0"/>
                          <w:marTop w:val="0"/>
                          <w:marBottom w:val="0"/>
                          <w:divBdr>
                            <w:top w:val="none" w:sz="0" w:space="0" w:color="auto"/>
                            <w:left w:val="none" w:sz="0" w:space="0" w:color="auto"/>
                            <w:bottom w:val="none" w:sz="0" w:space="0" w:color="auto"/>
                            <w:right w:val="none" w:sz="0" w:space="0" w:color="auto"/>
                          </w:divBdr>
                          <w:divsChild>
                            <w:div w:id="770122894">
                              <w:marLeft w:val="0"/>
                              <w:marRight w:val="0"/>
                              <w:marTop w:val="0"/>
                              <w:marBottom w:val="0"/>
                              <w:divBdr>
                                <w:top w:val="none" w:sz="0" w:space="0" w:color="auto"/>
                                <w:left w:val="none" w:sz="0" w:space="0" w:color="auto"/>
                                <w:bottom w:val="none" w:sz="0" w:space="0" w:color="auto"/>
                                <w:right w:val="none" w:sz="0" w:space="0" w:color="auto"/>
                              </w:divBdr>
                              <w:divsChild>
                                <w:div w:id="1739936188">
                                  <w:marLeft w:val="150"/>
                                  <w:marRight w:val="150"/>
                                  <w:marTop w:val="10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3472386">
      <w:bodyDiv w:val="1"/>
      <w:marLeft w:val="0"/>
      <w:marRight w:val="0"/>
      <w:marTop w:val="0"/>
      <w:marBottom w:val="0"/>
      <w:divBdr>
        <w:top w:val="none" w:sz="0" w:space="0" w:color="auto"/>
        <w:left w:val="none" w:sz="0" w:space="0" w:color="auto"/>
        <w:bottom w:val="none" w:sz="0" w:space="0" w:color="auto"/>
        <w:right w:val="none" w:sz="0" w:space="0" w:color="auto"/>
      </w:divBdr>
      <w:divsChild>
        <w:div w:id="882324602">
          <w:marLeft w:val="0"/>
          <w:marRight w:val="0"/>
          <w:marTop w:val="0"/>
          <w:marBottom w:val="0"/>
          <w:divBdr>
            <w:top w:val="none" w:sz="0" w:space="0" w:color="auto"/>
            <w:left w:val="none" w:sz="0" w:space="0" w:color="auto"/>
            <w:bottom w:val="none" w:sz="0" w:space="0" w:color="auto"/>
            <w:right w:val="none" w:sz="0" w:space="0" w:color="auto"/>
          </w:divBdr>
          <w:divsChild>
            <w:div w:id="1142382260">
              <w:marLeft w:val="-5775"/>
              <w:marRight w:val="-5775"/>
              <w:marTop w:val="0"/>
              <w:marBottom w:val="0"/>
              <w:divBdr>
                <w:top w:val="none" w:sz="0" w:space="0" w:color="auto"/>
                <w:left w:val="none" w:sz="0" w:space="0" w:color="auto"/>
                <w:bottom w:val="none" w:sz="0" w:space="0" w:color="auto"/>
                <w:right w:val="none" w:sz="0" w:space="0" w:color="auto"/>
              </w:divBdr>
              <w:divsChild>
                <w:div w:id="731391904">
                  <w:marLeft w:val="0"/>
                  <w:marRight w:val="0"/>
                  <w:marTop w:val="0"/>
                  <w:marBottom w:val="0"/>
                  <w:divBdr>
                    <w:top w:val="none" w:sz="0" w:space="0" w:color="auto"/>
                    <w:left w:val="none" w:sz="0" w:space="0" w:color="auto"/>
                    <w:bottom w:val="none" w:sz="0" w:space="0" w:color="auto"/>
                    <w:right w:val="none" w:sz="0" w:space="0" w:color="auto"/>
                  </w:divBdr>
                  <w:divsChild>
                    <w:div w:id="1039624464">
                      <w:marLeft w:val="0"/>
                      <w:marRight w:val="0"/>
                      <w:marTop w:val="0"/>
                      <w:marBottom w:val="0"/>
                      <w:divBdr>
                        <w:top w:val="single" w:sz="2" w:space="0" w:color="CCCCCC"/>
                        <w:left w:val="single" w:sz="6" w:space="0" w:color="CCCCCC"/>
                        <w:bottom w:val="single" w:sz="6" w:space="0" w:color="CCCCCC"/>
                        <w:right w:val="single" w:sz="6" w:space="0" w:color="CCCCCC"/>
                      </w:divBdr>
                      <w:divsChild>
                        <w:div w:id="2086418831">
                          <w:marLeft w:val="0"/>
                          <w:marRight w:val="0"/>
                          <w:marTop w:val="0"/>
                          <w:marBottom w:val="0"/>
                          <w:divBdr>
                            <w:top w:val="none" w:sz="0" w:space="0" w:color="auto"/>
                            <w:left w:val="none" w:sz="0" w:space="0" w:color="auto"/>
                            <w:bottom w:val="none" w:sz="0" w:space="0" w:color="auto"/>
                            <w:right w:val="none" w:sz="0" w:space="0" w:color="auto"/>
                          </w:divBdr>
                          <w:divsChild>
                            <w:div w:id="2092505853">
                              <w:marLeft w:val="0"/>
                              <w:marRight w:val="0"/>
                              <w:marTop w:val="0"/>
                              <w:marBottom w:val="0"/>
                              <w:divBdr>
                                <w:top w:val="none" w:sz="0" w:space="0" w:color="auto"/>
                                <w:left w:val="none" w:sz="0" w:space="0" w:color="auto"/>
                                <w:bottom w:val="none" w:sz="0" w:space="0" w:color="auto"/>
                                <w:right w:val="none" w:sz="0" w:space="0" w:color="auto"/>
                              </w:divBdr>
                              <w:divsChild>
                                <w:div w:id="928729890">
                                  <w:marLeft w:val="150"/>
                                  <w:marRight w:val="150"/>
                                  <w:marTop w:val="10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8103810">
      <w:bodyDiv w:val="1"/>
      <w:marLeft w:val="0"/>
      <w:marRight w:val="0"/>
      <w:marTop w:val="0"/>
      <w:marBottom w:val="0"/>
      <w:divBdr>
        <w:top w:val="none" w:sz="0" w:space="0" w:color="auto"/>
        <w:left w:val="none" w:sz="0" w:space="0" w:color="auto"/>
        <w:bottom w:val="none" w:sz="0" w:space="0" w:color="auto"/>
        <w:right w:val="none" w:sz="0" w:space="0" w:color="auto"/>
      </w:divBdr>
      <w:divsChild>
        <w:div w:id="1572231763">
          <w:marLeft w:val="0"/>
          <w:marRight w:val="0"/>
          <w:marTop w:val="0"/>
          <w:marBottom w:val="0"/>
          <w:divBdr>
            <w:top w:val="none" w:sz="0" w:space="0" w:color="auto"/>
            <w:left w:val="none" w:sz="0" w:space="0" w:color="auto"/>
            <w:bottom w:val="none" w:sz="0" w:space="0" w:color="auto"/>
            <w:right w:val="none" w:sz="0" w:space="0" w:color="auto"/>
          </w:divBdr>
          <w:divsChild>
            <w:div w:id="909928551">
              <w:marLeft w:val="-5775"/>
              <w:marRight w:val="-5775"/>
              <w:marTop w:val="0"/>
              <w:marBottom w:val="0"/>
              <w:divBdr>
                <w:top w:val="none" w:sz="0" w:space="0" w:color="auto"/>
                <w:left w:val="none" w:sz="0" w:space="0" w:color="auto"/>
                <w:bottom w:val="none" w:sz="0" w:space="0" w:color="auto"/>
                <w:right w:val="none" w:sz="0" w:space="0" w:color="auto"/>
              </w:divBdr>
              <w:divsChild>
                <w:div w:id="2034501053">
                  <w:marLeft w:val="0"/>
                  <w:marRight w:val="0"/>
                  <w:marTop w:val="0"/>
                  <w:marBottom w:val="0"/>
                  <w:divBdr>
                    <w:top w:val="none" w:sz="0" w:space="0" w:color="auto"/>
                    <w:left w:val="none" w:sz="0" w:space="0" w:color="auto"/>
                    <w:bottom w:val="none" w:sz="0" w:space="0" w:color="auto"/>
                    <w:right w:val="none" w:sz="0" w:space="0" w:color="auto"/>
                  </w:divBdr>
                  <w:divsChild>
                    <w:div w:id="870798802">
                      <w:marLeft w:val="0"/>
                      <w:marRight w:val="0"/>
                      <w:marTop w:val="0"/>
                      <w:marBottom w:val="0"/>
                      <w:divBdr>
                        <w:top w:val="single" w:sz="2" w:space="0" w:color="CCCCCC"/>
                        <w:left w:val="single" w:sz="6" w:space="0" w:color="CCCCCC"/>
                        <w:bottom w:val="single" w:sz="6" w:space="0" w:color="CCCCCC"/>
                        <w:right w:val="single" w:sz="6" w:space="0" w:color="CCCCCC"/>
                      </w:divBdr>
                      <w:divsChild>
                        <w:div w:id="1506286208">
                          <w:marLeft w:val="0"/>
                          <w:marRight w:val="0"/>
                          <w:marTop w:val="0"/>
                          <w:marBottom w:val="0"/>
                          <w:divBdr>
                            <w:top w:val="none" w:sz="0" w:space="0" w:color="auto"/>
                            <w:left w:val="none" w:sz="0" w:space="0" w:color="auto"/>
                            <w:bottom w:val="none" w:sz="0" w:space="0" w:color="auto"/>
                            <w:right w:val="none" w:sz="0" w:space="0" w:color="auto"/>
                          </w:divBdr>
                          <w:divsChild>
                            <w:div w:id="1326125526">
                              <w:marLeft w:val="0"/>
                              <w:marRight w:val="0"/>
                              <w:marTop w:val="0"/>
                              <w:marBottom w:val="0"/>
                              <w:divBdr>
                                <w:top w:val="none" w:sz="0" w:space="0" w:color="auto"/>
                                <w:left w:val="none" w:sz="0" w:space="0" w:color="auto"/>
                                <w:bottom w:val="none" w:sz="0" w:space="0" w:color="auto"/>
                                <w:right w:val="none" w:sz="0" w:space="0" w:color="auto"/>
                              </w:divBdr>
                              <w:divsChild>
                                <w:div w:id="1672677622">
                                  <w:marLeft w:val="150"/>
                                  <w:marRight w:val="150"/>
                                  <w:marTop w:val="10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4434407">
      <w:bodyDiv w:val="1"/>
      <w:marLeft w:val="0"/>
      <w:marRight w:val="0"/>
      <w:marTop w:val="0"/>
      <w:marBottom w:val="0"/>
      <w:divBdr>
        <w:top w:val="none" w:sz="0" w:space="0" w:color="auto"/>
        <w:left w:val="none" w:sz="0" w:space="0" w:color="auto"/>
        <w:bottom w:val="none" w:sz="0" w:space="0" w:color="auto"/>
        <w:right w:val="none" w:sz="0" w:space="0" w:color="auto"/>
      </w:divBdr>
      <w:divsChild>
        <w:div w:id="51543584">
          <w:marLeft w:val="0"/>
          <w:marRight w:val="0"/>
          <w:marTop w:val="0"/>
          <w:marBottom w:val="0"/>
          <w:divBdr>
            <w:top w:val="none" w:sz="0" w:space="0" w:color="auto"/>
            <w:left w:val="none" w:sz="0" w:space="0" w:color="auto"/>
            <w:bottom w:val="none" w:sz="0" w:space="0" w:color="auto"/>
            <w:right w:val="none" w:sz="0" w:space="0" w:color="auto"/>
          </w:divBdr>
          <w:divsChild>
            <w:div w:id="998731907">
              <w:marLeft w:val="0"/>
              <w:marRight w:val="0"/>
              <w:marTop w:val="0"/>
              <w:marBottom w:val="0"/>
              <w:divBdr>
                <w:top w:val="none" w:sz="0" w:space="0" w:color="auto"/>
                <w:left w:val="none" w:sz="0" w:space="0" w:color="auto"/>
                <w:bottom w:val="none" w:sz="0" w:space="0" w:color="auto"/>
                <w:right w:val="none" w:sz="0" w:space="0" w:color="auto"/>
              </w:divBdr>
              <w:divsChild>
                <w:div w:id="1174107256">
                  <w:marLeft w:val="0"/>
                  <w:marRight w:val="0"/>
                  <w:marTop w:val="0"/>
                  <w:marBottom w:val="0"/>
                  <w:divBdr>
                    <w:top w:val="none" w:sz="0" w:space="0" w:color="auto"/>
                    <w:left w:val="none" w:sz="0" w:space="0" w:color="auto"/>
                    <w:bottom w:val="none" w:sz="0" w:space="0" w:color="auto"/>
                    <w:right w:val="none" w:sz="0" w:space="0" w:color="auto"/>
                  </w:divBdr>
                  <w:divsChild>
                    <w:div w:id="52055782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517982">
      <w:bodyDiv w:val="1"/>
      <w:marLeft w:val="0"/>
      <w:marRight w:val="0"/>
      <w:marTop w:val="0"/>
      <w:marBottom w:val="0"/>
      <w:divBdr>
        <w:top w:val="none" w:sz="0" w:space="0" w:color="auto"/>
        <w:left w:val="none" w:sz="0" w:space="0" w:color="auto"/>
        <w:bottom w:val="none" w:sz="0" w:space="0" w:color="auto"/>
        <w:right w:val="none" w:sz="0" w:space="0" w:color="auto"/>
      </w:divBdr>
      <w:divsChild>
        <w:div w:id="545027546">
          <w:marLeft w:val="0"/>
          <w:marRight w:val="0"/>
          <w:marTop w:val="0"/>
          <w:marBottom w:val="0"/>
          <w:divBdr>
            <w:top w:val="none" w:sz="0" w:space="0" w:color="auto"/>
            <w:left w:val="none" w:sz="0" w:space="0" w:color="auto"/>
            <w:bottom w:val="none" w:sz="0" w:space="0" w:color="auto"/>
            <w:right w:val="none" w:sz="0" w:space="0" w:color="auto"/>
          </w:divBdr>
          <w:divsChild>
            <w:div w:id="1010179682">
              <w:marLeft w:val="0"/>
              <w:marRight w:val="0"/>
              <w:marTop w:val="0"/>
              <w:marBottom w:val="0"/>
              <w:divBdr>
                <w:top w:val="none" w:sz="0" w:space="0" w:color="auto"/>
                <w:left w:val="none" w:sz="0" w:space="0" w:color="auto"/>
                <w:bottom w:val="none" w:sz="0" w:space="0" w:color="auto"/>
                <w:right w:val="none" w:sz="0" w:space="0" w:color="auto"/>
              </w:divBdr>
              <w:divsChild>
                <w:div w:id="874270303">
                  <w:marLeft w:val="0"/>
                  <w:marRight w:val="0"/>
                  <w:marTop w:val="0"/>
                  <w:marBottom w:val="0"/>
                  <w:divBdr>
                    <w:top w:val="none" w:sz="0" w:space="0" w:color="auto"/>
                    <w:left w:val="none" w:sz="0" w:space="0" w:color="auto"/>
                    <w:bottom w:val="none" w:sz="0" w:space="0" w:color="auto"/>
                    <w:right w:val="none" w:sz="0" w:space="0" w:color="auto"/>
                  </w:divBdr>
                  <w:divsChild>
                    <w:div w:id="1337463557">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045952">
      <w:bodyDiv w:val="1"/>
      <w:marLeft w:val="0"/>
      <w:marRight w:val="0"/>
      <w:marTop w:val="0"/>
      <w:marBottom w:val="0"/>
      <w:divBdr>
        <w:top w:val="none" w:sz="0" w:space="0" w:color="auto"/>
        <w:left w:val="none" w:sz="0" w:space="0" w:color="auto"/>
        <w:bottom w:val="none" w:sz="0" w:space="0" w:color="auto"/>
        <w:right w:val="none" w:sz="0" w:space="0" w:color="auto"/>
      </w:divBdr>
      <w:divsChild>
        <w:div w:id="672298064">
          <w:marLeft w:val="0"/>
          <w:marRight w:val="0"/>
          <w:marTop w:val="0"/>
          <w:marBottom w:val="0"/>
          <w:divBdr>
            <w:top w:val="none" w:sz="0" w:space="0" w:color="auto"/>
            <w:left w:val="none" w:sz="0" w:space="0" w:color="auto"/>
            <w:bottom w:val="none" w:sz="0" w:space="0" w:color="auto"/>
            <w:right w:val="none" w:sz="0" w:space="0" w:color="auto"/>
          </w:divBdr>
          <w:divsChild>
            <w:div w:id="505249428">
              <w:marLeft w:val="0"/>
              <w:marRight w:val="0"/>
              <w:marTop w:val="0"/>
              <w:marBottom w:val="0"/>
              <w:divBdr>
                <w:top w:val="none" w:sz="0" w:space="0" w:color="auto"/>
                <w:left w:val="none" w:sz="0" w:space="0" w:color="auto"/>
                <w:bottom w:val="none" w:sz="0" w:space="0" w:color="auto"/>
                <w:right w:val="none" w:sz="0" w:space="0" w:color="auto"/>
              </w:divBdr>
              <w:divsChild>
                <w:div w:id="1461992136">
                  <w:marLeft w:val="0"/>
                  <w:marRight w:val="0"/>
                  <w:marTop w:val="0"/>
                  <w:marBottom w:val="0"/>
                  <w:divBdr>
                    <w:top w:val="none" w:sz="0" w:space="0" w:color="auto"/>
                    <w:left w:val="none" w:sz="0" w:space="0" w:color="auto"/>
                    <w:bottom w:val="none" w:sz="0" w:space="0" w:color="auto"/>
                    <w:right w:val="none" w:sz="0" w:space="0" w:color="auto"/>
                  </w:divBdr>
                  <w:divsChild>
                    <w:div w:id="217284115">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248567">
      <w:bodyDiv w:val="1"/>
      <w:marLeft w:val="0"/>
      <w:marRight w:val="0"/>
      <w:marTop w:val="0"/>
      <w:marBottom w:val="0"/>
      <w:divBdr>
        <w:top w:val="none" w:sz="0" w:space="0" w:color="auto"/>
        <w:left w:val="none" w:sz="0" w:space="0" w:color="auto"/>
        <w:bottom w:val="none" w:sz="0" w:space="0" w:color="auto"/>
        <w:right w:val="none" w:sz="0" w:space="0" w:color="auto"/>
      </w:divBdr>
      <w:divsChild>
        <w:div w:id="1095596256">
          <w:marLeft w:val="0"/>
          <w:marRight w:val="0"/>
          <w:marTop w:val="0"/>
          <w:marBottom w:val="0"/>
          <w:divBdr>
            <w:top w:val="none" w:sz="0" w:space="0" w:color="auto"/>
            <w:left w:val="none" w:sz="0" w:space="0" w:color="auto"/>
            <w:bottom w:val="none" w:sz="0" w:space="0" w:color="auto"/>
            <w:right w:val="none" w:sz="0" w:space="0" w:color="auto"/>
          </w:divBdr>
          <w:divsChild>
            <w:div w:id="114372396">
              <w:marLeft w:val="0"/>
              <w:marRight w:val="0"/>
              <w:marTop w:val="0"/>
              <w:marBottom w:val="0"/>
              <w:divBdr>
                <w:top w:val="none" w:sz="0" w:space="0" w:color="auto"/>
                <w:left w:val="none" w:sz="0" w:space="0" w:color="auto"/>
                <w:bottom w:val="none" w:sz="0" w:space="0" w:color="auto"/>
                <w:right w:val="none" w:sz="0" w:space="0" w:color="auto"/>
              </w:divBdr>
              <w:divsChild>
                <w:div w:id="1153597205">
                  <w:marLeft w:val="0"/>
                  <w:marRight w:val="0"/>
                  <w:marTop w:val="0"/>
                  <w:marBottom w:val="0"/>
                  <w:divBdr>
                    <w:top w:val="none" w:sz="0" w:space="0" w:color="auto"/>
                    <w:left w:val="none" w:sz="0" w:space="0" w:color="auto"/>
                    <w:bottom w:val="none" w:sz="0" w:space="0" w:color="auto"/>
                    <w:right w:val="none" w:sz="0" w:space="0" w:color="auto"/>
                  </w:divBdr>
                  <w:divsChild>
                    <w:div w:id="639114717">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961384">
      <w:bodyDiv w:val="1"/>
      <w:marLeft w:val="0"/>
      <w:marRight w:val="0"/>
      <w:marTop w:val="0"/>
      <w:marBottom w:val="0"/>
      <w:divBdr>
        <w:top w:val="none" w:sz="0" w:space="0" w:color="auto"/>
        <w:left w:val="none" w:sz="0" w:space="0" w:color="auto"/>
        <w:bottom w:val="none" w:sz="0" w:space="0" w:color="auto"/>
        <w:right w:val="none" w:sz="0" w:space="0" w:color="auto"/>
      </w:divBdr>
      <w:divsChild>
        <w:div w:id="1496650689">
          <w:marLeft w:val="0"/>
          <w:marRight w:val="0"/>
          <w:marTop w:val="0"/>
          <w:marBottom w:val="0"/>
          <w:divBdr>
            <w:top w:val="none" w:sz="0" w:space="0" w:color="auto"/>
            <w:left w:val="none" w:sz="0" w:space="0" w:color="auto"/>
            <w:bottom w:val="none" w:sz="0" w:space="0" w:color="auto"/>
            <w:right w:val="none" w:sz="0" w:space="0" w:color="auto"/>
          </w:divBdr>
          <w:divsChild>
            <w:div w:id="388039933">
              <w:marLeft w:val="0"/>
              <w:marRight w:val="0"/>
              <w:marTop w:val="0"/>
              <w:marBottom w:val="0"/>
              <w:divBdr>
                <w:top w:val="none" w:sz="0" w:space="0" w:color="auto"/>
                <w:left w:val="none" w:sz="0" w:space="0" w:color="auto"/>
                <w:bottom w:val="none" w:sz="0" w:space="0" w:color="auto"/>
                <w:right w:val="none" w:sz="0" w:space="0" w:color="auto"/>
              </w:divBdr>
              <w:divsChild>
                <w:div w:id="965426818">
                  <w:marLeft w:val="0"/>
                  <w:marRight w:val="0"/>
                  <w:marTop w:val="0"/>
                  <w:marBottom w:val="0"/>
                  <w:divBdr>
                    <w:top w:val="none" w:sz="0" w:space="0" w:color="auto"/>
                    <w:left w:val="none" w:sz="0" w:space="0" w:color="auto"/>
                    <w:bottom w:val="none" w:sz="0" w:space="0" w:color="auto"/>
                    <w:right w:val="none" w:sz="0" w:space="0" w:color="auto"/>
                  </w:divBdr>
                  <w:divsChild>
                    <w:div w:id="1186479350">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780407">
      <w:bodyDiv w:val="1"/>
      <w:marLeft w:val="0"/>
      <w:marRight w:val="0"/>
      <w:marTop w:val="0"/>
      <w:marBottom w:val="0"/>
      <w:divBdr>
        <w:top w:val="none" w:sz="0" w:space="0" w:color="auto"/>
        <w:left w:val="none" w:sz="0" w:space="0" w:color="auto"/>
        <w:bottom w:val="none" w:sz="0" w:space="0" w:color="auto"/>
        <w:right w:val="none" w:sz="0" w:space="0" w:color="auto"/>
      </w:divBdr>
      <w:divsChild>
        <w:div w:id="636644395">
          <w:marLeft w:val="0"/>
          <w:marRight w:val="0"/>
          <w:marTop w:val="0"/>
          <w:marBottom w:val="0"/>
          <w:divBdr>
            <w:top w:val="none" w:sz="0" w:space="0" w:color="auto"/>
            <w:left w:val="none" w:sz="0" w:space="0" w:color="auto"/>
            <w:bottom w:val="none" w:sz="0" w:space="0" w:color="auto"/>
            <w:right w:val="none" w:sz="0" w:space="0" w:color="auto"/>
          </w:divBdr>
          <w:divsChild>
            <w:div w:id="1797068032">
              <w:marLeft w:val="0"/>
              <w:marRight w:val="0"/>
              <w:marTop w:val="0"/>
              <w:marBottom w:val="0"/>
              <w:divBdr>
                <w:top w:val="none" w:sz="0" w:space="0" w:color="auto"/>
                <w:left w:val="none" w:sz="0" w:space="0" w:color="auto"/>
                <w:bottom w:val="none" w:sz="0" w:space="0" w:color="auto"/>
                <w:right w:val="none" w:sz="0" w:space="0" w:color="auto"/>
              </w:divBdr>
              <w:divsChild>
                <w:div w:id="1124232856">
                  <w:marLeft w:val="0"/>
                  <w:marRight w:val="0"/>
                  <w:marTop w:val="0"/>
                  <w:marBottom w:val="0"/>
                  <w:divBdr>
                    <w:top w:val="none" w:sz="0" w:space="0" w:color="auto"/>
                    <w:left w:val="none" w:sz="0" w:space="0" w:color="auto"/>
                    <w:bottom w:val="none" w:sz="0" w:space="0" w:color="auto"/>
                    <w:right w:val="none" w:sz="0" w:space="0" w:color="auto"/>
                  </w:divBdr>
                  <w:divsChild>
                    <w:div w:id="908542255">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296121">
      <w:bodyDiv w:val="1"/>
      <w:marLeft w:val="0"/>
      <w:marRight w:val="0"/>
      <w:marTop w:val="0"/>
      <w:marBottom w:val="0"/>
      <w:divBdr>
        <w:top w:val="none" w:sz="0" w:space="0" w:color="auto"/>
        <w:left w:val="none" w:sz="0" w:space="0" w:color="auto"/>
        <w:bottom w:val="none" w:sz="0" w:space="0" w:color="auto"/>
        <w:right w:val="none" w:sz="0" w:space="0" w:color="auto"/>
      </w:divBdr>
      <w:divsChild>
        <w:div w:id="1958491272">
          <w:marLeft w:val="0"/>
          <w:marRight w:val="0"/>
          <w:marTop w:val="0"/>
          <w:marBottom w:val="0"/>
          <w:divBdr>
            <w:top w:val="none" w:sz="0" w:space="0" w:color="auto"/>
            <w:left w:val="none" w:sz="0" w:space="0" w:color="auto"/>
            <w:bottom w:val="none" w:sz="0" w:space="0" w:color="auto"/>
            <w:right w:val="none" w:sz="0" w:space="0" w:color="auto"/>
          </w:divBdr>
          <w:divsChild>
            <w:div w:id="196428484">
              <w:marLeft w:val="0"/>
              <w:marRight w:val="0"/>
              <w:marTop w:val="0"/>
              <w:marBottom w:val="0"/>
              <w:divBdr>
                <w:top w:val="none" w:sz="0" w:space="0" w:color="auto"/>
                <w:left w:val="none" w:sz="0" w:space="0" w:color="auto"/>
                <w:bottom w:val="none" w:sz="0" w:space="0" w:color="auto"/>
                <w:right w:val="none" w:sz="0" w:space="0" w:color="auto"/>
              </w:divBdr>
              <w:divsChild>
                <w:div w:id="1441338380">
                  <w:marLeft w:val="0"/>
                  <w:marRight w:val="0"/>
                  <w:marTop w:val="0"/>
                  <w:marBottom w:val="0"/>
                  <w:divBdr>
                    <w:top w:val="none" w:sz="0" w:space="0" w:color="auto"/>
                    <w:left w:val="none" w:sz="0" w:space="0" w:color="auto"/>
                    <w:bottom w:val="none" w:sz="0" w:space="0" w:color="auto"/>
                    <w:right w:val="none" w:sz="0" w:space="0" w:color="auto"/>
                  </w:divBdr>
                  <w:divsChild>
                    <w:div w:id="130753554">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925189">
      <w:bodyDiv w:val="1"/>
      <w:marLeft w:val="0"/>
      <w:marRight w:val="0"/>
      <w:marTop w:val="0"/>
      <w:marBottom w:val="0"/>
      <w:divBdr>
        <w:top w:val="none" w:sz="0" w:space="0" w:color="auto"/>
        <w:left w:val="none" w:sz="0" w:space="0" w:color="auto"/>
        <w:bottom w:val="none" w:sz="0" w:space="0" w:color="auto"/>
        <w:right w:val="none" w:sz="0" w:space="0" w:color="auto"/>
      </w:divBdr>
      <w:divsChild>
        <w:div w:id="986279697">
          <w:marLeft w:val="0"/>
          <w:marRight w:val="0"/>
          <w:marTop w:val="0"/>
          <w:marBottom w:val="0"/>
          <w:divBdr>
            <w:top w:val="none" w:sz="0" w:space="0" w:color="auto"/>
            <w:left w:val="none" w:sz="0" w:space="0" w:color="auto"/>
            <w:bottom w:val="none" w:sz="0" w:space="0" w:color="auto"/>
            <w:right w:val="none" w:sz="0" w:space="0" w:color="auto"/>
          </w:divBdr>
          <w:divsChild>
            <w:div w:id="1610623631">
              <w:marLeft w:val="0"/>
              <w:marRight w:val="0"/>
              <w:marTop w:val="0"/>
              <w:marBottom w:val="0"/>
              <w:divBdr>
                <w:top w:val="none" w:sz="0" w:space="0" w:color="auto"/>
                <w:left w:val="none" w:sz="0" w:space="0" w:color="auto"/>
                <w:bottom w:val="none" w:sz="0" w:space="0" w:color="auto"/>
                <w:right w:val="none" w:sz="0" w:space="0" w:color="auto"/>
              </w:divBdr>
              <w:divsChild>
                <w:div w:id="1635527782">
                  <w:marLeft w:val="0"/>
                  <w:marRight w:val="0"/>
                  <w:marTop w:val="0"/>
                  <w:marBottom w:val="0"/>
                  <w:divBdr>
                    <w:top w:val="none" w:sz="0" w:space="0" w:color="auto"/>
                    <w:left w:val="none" w:sz="0" w:space="0" w:color="auto"/>
                    <w:bottom w:val="none" w:sz="0" w:space="0" w:color="auto"/>
                    <w:right w:val="none" w:sz="0" w:space="0" w:color="auto"/>
                  </w:divBdr>
                  <w:divsChild>
                    <w:div w:id="1274041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909875">
      <w:bodyDiv w:val="1"/>
      <w:marLeft w:val="0"/>
      <w:marRight w:val="0"/>
      <w:marTop w:val="0"/>
      <w:marBottom w:val="0"/>
      <w:divBdr>
        <w:top w:val="none" w:sz="0" w:space="0" w:color="auto"/>
        <w:left w:val="none" w:sz="0" w:space="0" w:color="auto"/>
        <w:bottom w:val="none" w:sz="0" w:space="0" w:color="auto"/>
        <w:right w:val="none" w:sz="0" w:space="0" w:color="auto"/>
      </w:divBdr>
      <w:divsChild>
        <w:div w:id="1463570557">
          <w:marLeft w:val="0"/>
          <w:marRight w:val="0"/>
          <w:marTop w:val="0"/>
          <w:marBottom w:val="0"/>
          <w:divBdr>
            <w:top w:val="none" w:sz="0" w:space="0" w:color="auto"/>
            <w:left w:val="none" w:sz="0" w:space="0" w:color="auto"/>
            <w:bottom w:val="none" w:sz="0" w:space="0" w:color="auto"/>
            <w:right w:val="none" w:sz="0" w:space="0" w:color="auto"/>
          </w:divBdr>
          <w:divsChild>
            <w:div w:id="1987971762">
              <w:marLeft w:val="0"/>
              <w:marRight w:val="0"/>
              <w:marTop w:val="0"/>
              <w:marBottom w:val="0"/>
              <w:divBdr>
                <w:top w:val="none" w:sz="0" w:space="0" w:color="auto"/>
                <w:left w:val="none" w:sz="0" w:space="0" w:color="auto"/>
                <w:bottom w:val="none" w:sz="0" w:space="0" w:color="auto"/>
                <w:right w:val="none" w:sz="0" w:space="0" w:color="auto"/>
              </w:divBdr>
              <w:divsChild>
                <w:div w:id="401220280">
                  <w:marLeft w:val="0"/>
                  <w:marRight w:val="0"/>
                  <w:marTop w:val="0"/>
                  <w:marBottom w:val="0"/>
                  <w:divBdr>
                    <w:top w:val="none" w:sz="0" w:space="0" w:color="auto"/>
                    <w:left w:val="none" w:sz="0" w:space="0" w:color="auto"/>
                    <w:bottom w:val="none" w:sz="0" w:space="0" w:color="auto"/>
                    <w:right w:val="none" w:sz="0" w:space="0" w:color="auto"/>
                  </w:divBdr>
                  <w:divsChild>
                    <w:div w:id="16600349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528995">
      <w:bodyDiv w:val="1"/>
      <w:marLeft w:val="0"/>
      <w:marRight w:val="0"/>
      <w:marTop w:val="0"/>
      <w:marBottom w:val="0"/>
      <w:divBdr>
        <w:top w:val="none" w:sz="0" w:space="0" w:color="auto"/>
        <w:left w:val="none" w:sz="0" w:space="0" w:color="auto"/>
        <w:bottom w:val="none" w:sz="0" w:space="0" w:color="auto"/>
        <w:right w:val="none" w:sz="0" w:space="0" w:color="auto"/>
      </w:divBdr>
      <w:divsChild>
        <w:div w:id="89590327">
          <w:marLeft w:val="0"/>
          <w:marRight w:val="0"/>
          <w:marTop w:val="0"/>
          <w:marBottom w:val="0"/>
          <w:divBdr>
            <w:top w:val="none" w:sz="0" w:space="0" w:color="auto"/>
            <w:left w:val="none" w:sz="0" w:space="0" w:color="auto"/>
            <w:bottom w:val="none" w:sz="0" w:space="0" w:color="auto"/>
            <w:right w:val="none" w:sz="0" w:space="0" w:color="auto"/>
          </w:divBdr>
          <w:divsChild>
            <w:div w:id="189492355">
              <w:marLeft w:val="0"/>
              <w:marRight w:val="0"/>
              <w:marTop w:val="0"/>
              <w:marBottom w:val="0"/>
              <w:divBdr>
                <w:top w:val="none" w:sz="0" w:space="0" w:color="auto"/>
                <w:left w:val="none" w:sz="0" w:space="0" w:color="auto"/>
                <w:bottom w:val="none" w:sz="0" w:space="0" w:color="auto"/>
                <w:right w:val="none" w:sz="0" w:space="0" w:color="auto"/>
              </w:divBdr>
              <w:divsChild>
                <w:div w:id="1561213239">
                  <w:marLeft w:val="0"/>
                  <w:marRight w:val="0"/>
                  <w:marTop w:val="0"/>
                  <w:marBottom w:val="0"/>
                  <w:divBdr>
                    <w:top w:val="none" w:sz="0" w:space="0" w:color="auto"/>
                    <w:left w:val="none" w:sz="0" w:space="0" w:color="auto"/>
                    <w:bottom w:val="none" w:sz="0" w:space="0" w:color="auto"/>
                    <w:right w:val="none" w:sz="0" w:space="0" w:color="auto"/>
                  </w:divBdr>
                  <w:divsChild>
                    <w:div w:id="2003580574">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336599">
      <w:bodyDiv w:val="1"/>
      <w:marLeft w:val="0"/>
      <w:marRight w:val="0"/>
      <w:marTop w:val="0"/>
      <w:marBottom w:val="0"/>
      <w:divBdr>
        <w:top w:val="none" w:sz="0" w:space="0" w:color="auto"/>
        <w:left w:val="none" w:sz="0" w:space="0" w:color="auto"/>
        <w:bottom w:val="none" w:sz="0" w:space="0" w:color="auto"/>
        <w:right w:val="none" w:sz="0" w:space="0" w:color="auto"/>
      </w:divBdr>
      <w:divsChild>
        <w:div w:id="417487581">
          <w:marLeft w:val="0"/>
          <w:marRight w:val="0"/>
          <w:marTop w:val="0"/>
          <w:marBottom w:val="0"/>
          <w:divBdr>
            <w:top w:val="none" w:sz="0" w:space="0" w:color="auto"/>
            <w:left w:val="none" w:sz="0" w:space="0" w:color="auto"/>
            <w:bottom w:val="none" w:sz="0" w:space="0" w:color="auto"/>
            <w:right w:val="none" w:sz="0" w:space="0" w:color="auto"/>
          </w:divBdr>
          <w:divsChild>
            <w:div w:id="9185383">
              <w:marLeft w:val="-5775"/>
              <w:marRight w:val="-5775"/>
              <w:marTop w:val="0"/>
              <w:marBottom w:val="0"/>
              <w:divBdr>
                <w:top w:val="none" w:sz="0" w:space="0" w:color="auto"/>
                <w:left w:val="none" w:sz="0" w:space="0" w:color="auto"/>
                <w:bottom w:val="none" w:sz="0" w:space="0" w:color="auto"/>
                <w:right w:val="none" w:sz="0" w:space="0" w:color="auto"/>
              </w:divBdr>
              <w:divsChild>
                <w:div w:id="2118988193">
                  <w:marLeft w:val="0"/>
                  <w:marRight w:val="0"/>
                  <w:marTop w:val="0"/>
                  <w:marBottom w:val="0"/>
                  <w:divBdr>
                    <w:top w:val="none" w:sz="0" w:space="0" w:color="auto"/>
                    <w:left w:val="none" w:sz="0" w:space="0" w:color="auto"/>
                    <w:bottom w:val="none" w:sz="0" w:space="0" w:color="auto"/>
                    <w:right w:val="none" w:sz="0" w:space="0" w:color="auto"/>
                  </w:divBdr>
                  <w:divsChild>
                    <w:div w:id="1790197741">
                      <w:marLeft w:val="0"/>
                      <w:marRight w:val="0"/>
                      <w:marTop w:val="0"/>
                      <w:marBottom w:val="0"/>
                      <w:divBdr>
                        <w:top w:val="single" w:sz="2" w:space="0" w:color="CCCCCC"/>
                        <w:left w:val="single" w:sz="6" w:space="0" w:color="CCCCCC"/>
                        <w:bottom w:val="single" w:sz="6" w:space="0" w:color="CCCCCC"/>
                        <w:right w:val="single" w:sz="6" w:space="0" w:color="CCCCCC"/>
                      </w:divBdr>
                      <w:divsChild>
                        <w:div w:id="1906263001">
                          <w:marLeft w:val="0"/>
                          <w:marRight w:val="0"/>
                          <w:marTop w:val="0"/>
                          <w:marBottom w:val="0"/>
                          <w:divBdr>
                            <w:top w:val="none" w:sz="0" w:space="0" w:color="auto"/>
                            <w:left w:val="none" w:sz="0" w:space="0" w:color="auto"/>
                            <w:bottom w:val="none" w:sz="0" w:space="0" w:color="auto"/>
                            <w:right w:val="none" w:sz="0" w:space="0" w:color="auto"/>
                          </w:divBdr>
                          <w:divsChild>
                            <w:div w:id="622883848">
                              <w:marLeft w:val="0"/>
                              <w:marRight w:val="0"/>
                              <w:marTop w:val="0"/>
                              <w:marBottom w:val="0"/>
                              <w:divBdr>
                                <w:top w:val="none" w:sz="0" w:space="0" w:color="auto"/>
                                <w:left w:val="none" w:sz="0" w:space="0" w:color="auto"/>
                                <w:bottom w:val="none" w:sz="0" w:space="0" w:color="auto"/>
                                <w:right w:val="none" w:sz="0" w:space="0" w:color="auto"/>
                              </w:divBdr>
                              <w:divsChild>
                                <w:div w:id="305860587">
                                  <w:marLeft w:val="150"/>
                                  <w:marRight w:val="150"/>
                                  <w:marTop w:val="10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7476467">
      <w:bodyDiv w:val="1"/>
      <w:marLeft w:val="0"/>
      <w:marRight w:val="0"/>
      <w:marTop w:val="0"/>
      <w:marBottom w:val="0"/>
      <w:divBdr>
        <w:top w:val="none" w:sz="0" w:space="0" w:color="auto"/>
        <w:left w:val="none" w:sz="0" w:space="0" w:color="auto"/>
        <w:bottom w:val="none" w:sz="0" w:space="0" w:color="auto"/>
        <w:right w:val="none" w:sz="0" w:space="0" w:color="auto"/>
      </w:divBdr>
      <w:divsChild>
        <w:div w:id="799956832">
          <w:marLeft w:val="0"/>
          <w:marRight w:val="0"/>
          <w:marTop w:val="0"/>
          <w:marBottom w:val="0"/>
          <w:divBdr>
            <w:top w:val="none" w:sz="0" w:space="0" w:color="auto"/>
            <w:left w:val="none" w:sz="0" w:space="0" w:color="auto"/>
            <w:bottom w:val="none" w:sz="0" w:space="0" w:color="auto"/>
            <w:right w:val="none" w:sz="0" w:space="0" w:color="auto"/>
          </w:divBdr>
          <w:divsChild>
            <w:div w:id="336661196">
              <w:marLeft w:val="0"/>
              <w:marRight w:val="0"/>
              <w:marTop w:val="0"/>
              <w:marBottom w:val="0"/>
              <w:divBdr>
                <w:top w:val="none" w:sz="0" w:space="0" w:color="auto"/>
                <w:left w:val="none" w:sz="0" w:space="0" w:color="auto"/>
                <w:bottom w:val="none" w:sz="0" w:space="0" w:color="auto"/>
                <w:right w:val="none" w:sz="0" w:space="0" w:color="auto"/>
              </w:divBdr>
              <w:divsChild>
                <w:div w:id="1420297667">
                  <w:marLeft w:val="0"/>
                  <w:marRight w:val="0"/>
                  <w:marTop w:val="0"/>
                  <w:marBottom w:val="0"/>
                  <w:divBdr>
                    <w:top w:val="none" w:sz="0" w:space="0" w:color="auto"/>
                    <w:left w:val="none" w:sz="0" w:space="0" w:color="auto"/>
                    <w:bottom w:val="none" w:sz="0" w:space="0" w:color="auto"/>
                    <w:right w:val="none" w:sz="0" w:space="0" w:color="auto"/>
                  </w:divBdr>
                  <w:divsChild>
                    <w:div w:id="97990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rants.nih.gov/grants/glossary.htm" TargetMode="External"/><Relationship Id="rId13" Type="http://schemas.openxmlformats.org/officeDocument/2006/relationships/hyperlink" Target="http://grants.nih.gov/grants/glossary.htm" TargetMode="External"/><Relationship Id="rId18" Type="http://schemas.openxmlformats.org/officeDocument/2006/relationships/hyperlink" Target="http://grants.nih.gov/grants/glossary.htm" TargetMode="External"/><Relationship Id="rId26" Type="http://schemas.openxmlformats.org/officeDocument/2006/relationships/hyperlink" Target="http://grants.nih.gov/grants/glossary.htm" TargetMode="External"/><Relationship Id="rId3" Type="http://schemas.openxmlformats.org/officeDocument/2006/relationships/styles" Target="styles.xml"/><Relationship Id="rId21" Type="http://schemas.openxmlformats.org/officeDocument/2006/relationships/hyperlink" Target="http://grants.nih.gov/grants/glossary.htm" TargetMode="External"/><Relationship Id="rId34" Type="http://schemas.openxmlformats.org/officeDocument/2006/relationships/hyperlink" Target="http://grants.nih.gov/grants/glossary.htm" TargetMode="External"/><Relationship Id="rId7" Type="http://schemas.openxmlformats.org/officeDocument/2006/relationships/endnotes" Target="endnotes.xml"/><Relationship Id="rId12" Type="http://schemas.openxmlformats.org/officeDocument/2006/relationships/hyperlink" Target="http://grants.nih.gov/grants/glossary.htm" TargetMode="External"/><Relationship Id="rId17" Type="http://schemas.openxmlformats.org/officeDocument/2006/relationships/hyperlink" Target="http://grants.nih.gov/grants/policy/nihgps/HTML5/section_8/8.1_changes_in_project_and_budget.htm" TargetMode="External"/><Relationship Id="rId25" Type="http://schemas.openxmlformats.org/officeDocument/2006/relationships/hyperlink" Target="http://grants.nih.gov/grants/policy/nihgps/HTML5/section_8/8.1_changes_in_project_and_budget.htm" TargetMode="External"/><Relationship Id="rId33" Type="http://schemas.openxmlformats.org/officeDocument/2006/relationships/hyperlink" Target="http://grants.nih.gov/grants/glossary.htm" TargetMode="External"/><Relationship Id="rId2" Type="http://schemas.openxmlformats.org/officeDocument/2006/relationships/numbering" Target="numbering.xml"/><Relationship Id="rId16" Type="http://schemas.openxmlformats.org/officeDocument/2006/relationships/hyperlink" Target="http://grants.nih.gov/grants/policy/nihgps/HTML5/section_8/8.1_changes_in_project_and_budget.htm" TargetMode="External"/><Relationship Id="rId20" Type="http://schemas.openxmlformats.org/officeDocument/2006/relationships/hyperlink" Target="http://grants.nih.gov/grants/glossary.htm" TargetMode="External"/><Relationship Id="rId29" Type="http://schemas.openxmlformats.org/officeDocument/2006/relationships/hyperlink" Target="http://grants.nih.gov/grants/rpp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rants.nih.gov/grants/glossary.htm" TargetMode="External"/><Relationship Id="rId24" Type="http://schemas.openxmlformats.org/officeDocument/2006/relationships/hyperlink" Target="http://grants.nih.gov/grants/glossary.htm" TargetMode="External"/><Relationship Id="rId32" Type="http://schemas.openxmlformats.org/officeDocument/2006/relationships/hyperlink" Target="http://grants.nih.gov/grants/glossary.htm"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grants.nih.gov/grants/glossary.htm" TargetMode="External"/><Relationship Id="rId23" Type="http://schemas.openxmlformats.org/officeDocument/2006/relationships/hyperlink" Target="http://grants.nih.gov/grants/policy/nihgps/HTML5/section_7/7.9_allowability_of_costs_activities.htm" TargetMode="External"/><Relationship Id="rId28" Type="http://schemas.openxmlformats.org/officeDocument/2006/relationships/hyperlink" Target="http://grants.nih.gov/grants/glossary.htm" TargetMode="External"/><Relationship Id="rId36" Type="http://schemas.openxmlformats.org/officeDocument/2006/relationships/fontTable" Target="fontTable.xml"/><Relationship Id="rId10" Type="http://schemas.openxmlformats.org/officeDocument/2006/relationships/hyperlink" Target="http://grants.nih.gov/grants/policy/nihgps/HTML5/section_1/1.2_definition_of_terms.htm" TargetMode="External"/><Relationship Id="rId19" Type="http://schemas.openxmlformats.org/officeDocument/2006/relationships/hyperlink" Target="http://grants.nih.gov/grants/glossary.htm" TargetMode="External"/><Relationship Id="rId31" Type="http://schemas.openxmlformats.org/officeDocument/2006/relationships/hyperlink" Target="http://grants.nih.gov/grants/policy/salcap_summary.htm" TargetMode="External"/><Relationship Id="rId4" Type="http://schemas.openxmlformats.org/officeDocument/2006/relationships/settings" Target="settings.xml"/><Relationship Id="rId9" Type="http://schemas.openxmlformats.org/officeDocument/2006/relationships/hyperlink" Target="http://grants.nih.gov/grants/glossary.htm" TargetMode="External"/><Relationship Id="rId14" Type="http://schemas.openxmlformats.org/officeDocument/2006/relationships/hyperlink" Target="http://grants.nih.gov/grants/multi_pi/overview.htm" TargetMode="External"/><Relationship Id="rId22" Type="http://schemas.openxmlformats.org/officeDocument/2006/relationships/hyperlink" Target="http://grants.nih.gov/grants/glossary.htm" TargetMode="External"/><Relationship Id="rId27" Type="http://schemas.openxmlformats.org/officeDocument/2006/relationships/hyperlink" Target="http://grants.nih.gov/grants/glossary.htm" TargetMode="External"/><Relationship Id="rId30" Type="http://schemas.openxmlformats.org/officeDocument/2006/relationships/hyperlink" Target="http://grants.nih.gov/grants/glossary.htm"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88ECF-4BAB-48E3-B3CB-D21AA552D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3433</Words>
  <Characters>19573</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Providence Health &amp; Services</Company>
  <LinksUpToDate>false</LinksUpToDate>
  <CharactersWithSpaces>22961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Khan, Shabeena</dc:creator>
  <cp:lastModifiedBy>Meller, Gretchen M</cp:lastModifiedBy>
  <cp:revision>4</cp:revision>
  <cp:lastPrinted>2015-07-09T20:18:00Z</cp:lastPrinted>
  <dcterms:created xsi:type="dcterms:W3CDTF">2015-07-28T16:37:00Z</dcterms:created>
  <dcterms:modified xsi:type="dcterms:W3CDTF">2015-07-28T16:41:00Z</dcterms:modified>
</cp:coreProperties>
</file>